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02F" w:rsidRDefault="006F24B3">
      <w:pPr>
        <w:spacing w:after="0" w:line="259" w:lineRule="auto"/>
        <w:ind w:left="0" w:right="8" w:firstLine="0"/>
        <w:jc w:val="left"/>
        <w:rPr>
          <w:b/>
          <w:sz w:val="3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3816449</wp:posOffset>
            </wp:positionH>
            <wp:positionV relativeFrom="paragraph">
              <wp:posOffset>30163</wp:posOffset>
            </wp:positionV>
            <wp:extent cx="2955726" cy="630555"/>
            <wp:effectExtent l="0" t="0" r="0" b="0"/>
            <wp:wrapSquare wrapText="bothSides"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726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D574D">
        <w:rPr>
          <w:b/>
          <w:sz w:val="36"/>
        </w:rPr>
        <w:t>Bombas</w:t>
      </w:r>
      <w:r w:rsidR="007D5906">
        <w:rPr>
          <w:b/>
          <w:sz w:val="36"/>
        </w:rPr>
        <w:t xml:space="preserve"> de agua</w:t>
      </w:r>
      <w:r w:rsidR="00ED574D">
        <w:rPr>
          <w:b/>
          <w:sz w:val="36"/>
        </w:rPr>
        <w:t xml:space="preserve"> compactas</w:t>
      </w:r>
      <w:r w:rsidR="004D002F">
        <w:rPr>
          <w:b/>
          <w:sz w:val="36"/>
        </w:rPr>
        <w:t xml:space="preserve"> </w:t>
      </w:r>
    </w:p>
    <w:p w:rsidR="00791EB2" w:rsidRDefault="007D5906">
      <w:pPr>
        <w:spacing w:after="0" w:line="259" w:lineRule="auto"/>
        <w:ind w:left="0" w:right="8" w:firstLine="0"/>
        <w:jc w:val="left"/>
        <w:rPr>
          <w:b/>
          <w:sz w:val="36"/>
        </w:rPr>
      </w:pPr>
      <w:r>
        <w:rPr>
          <w:b/>
          <w:sz w:val="36"/>
        </w:rPr>
        <w:t xml:space="preserve">Serie PH </w:t>
      </w:r>
    </w:p>
    <w:p w:rsidR="005A3D08" w:rsidRDefault="005A3D08">
      <w:pPr>
        <w:spacing w:after="18" w:line="259" w:lineRule="auto"/>
        <w:ind w:left="0" w:right="8" w:firstLine="0"/>
        <w:jc w:val="left"/>
      </w:pPr>
    </w:p>
    <w:p w:rsidR="005A3D08" w:rsidRDefault="006F24B3" w:rsidP="001B6964">
      <w:pPr>
        <w:spacing w:after="14" w:line="264" w:lineRule="auto"/>
        <w:ind w:left="-5" w:right="8" w:hanging="10"/>
        <w:contextualSpacing/>
        <w:jc w:val="left"/>
      </w:pPr>
      <w:r>
        <w:rPr>
          <w:b/>
        </w:rPr>
        <w:t xml:space="preserve">Descripción: </w:t>
      </w:r>
    </w:p>
    <w:p w:rsidR="005A3D08" w:rsidRDefault="006F24B3" w:rsidP="001B6964">
      <w:pPr>
        <w:spacing w:after="18" w:line="259" w:lineRule="auto"/>
        <w:ind w:left="0" w:right="8" w:firstLine="0"/>
        <w:contextualSpacing/>
        <w:jc w:val="left"/>
      </w:pPr>
      <w:r>
        <w:rPr>
          <w:b/>
        </w:rPr>
        <w:t xml:space="preserve"> </w:t>
      </w:r>
    </w:p>
    <w:p w:rsidR="005A3D08" w:rsidRDefault="003D5B68" w:rsidP="001B6964">
      <w:pPr>
        <w:spacing w:after="14" w:line="264" w:lineRule="auto"/>
        <w:ind w:left="-5" w:right="8" w:hanging="10"/>
        <w:contextualSpacing/>
        <w:jc w:val="left"/>
      </w:pPr>
      <w:r>
        <w:rPr>
          <w:b/>
        </w:rPr>
        <w:t xml:space="preserve">Compactas y </w:t>
      </w:r>
      <w:r w:rsidR="00ED574D">
        <w:rPr>
          <w:b/>
        </w:rPr>
        <w:t>potentes</w:t>
      </w:r>
      <w:r w:rsidR="006F24B3">
        <w:rPr>
          <w:b/>
        </w:rPr>
        <w:t xml:space="preserve">. </w:t>
      </w:r>
    </w:p>
    <w:p w:rsidR="00712BB9" w:rsidRDefault="003D5B68" w:rsidP="001B6964">
      <w:pPr>
        <w:spacing w:after="5"/>
        <w:ind w:left="0" w:right="3" w:firstLine="0"/>
        <w:contextualSpacing/>
        <w:rPr>
          <w:noProof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4547870</wp:posOffset>
            </wp:positionH>
            <wp:positionV relativeFrom="paragraph">
              <wp:posOffset>73437</wp:posOffset>
            </wp:positionV>
            <wp:extent cx="2365375" cy="2365375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ltro_cascada_wf-2035-2045-2055_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75" cy="236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8A6" w:rsidRDefault="0097611E" w:rsidP="001B6964">
      <w:pPr>
        <w:spacing w:after="55" w:line="259" w:lineRule="auto"/>
        <w:ind w:left="0" w:right="0" w:firstLine="0"/>
        <w:contextualSpacing/>
        <w:rPr>
          <w:sz w:val="19"/>
          <w:szCs w:val="19"/>
        </w:rPr>
      </w:pPr>
      <w:r w:rsidRPr="0097611E">
        <w:rPr>
          <w:sz w:val="19"/>
          <w:szCs w:val="19"/>
        </w:rPr>
        <w:t xml:space="preserve">Las bombas de agua </w:t>
      </w:r>
      <w:proofErr w:type="spellStart"/>
      <w:r w:rsidRPr="0097611E">
        <w:rPr>
          <w:sz w:val="19"/>
          <w:szCs w:val="19"/>
        </w:rPr>
        <w:t>Dymax</w:t>
      </w:r>
      <w:proofErr w:type="spellEnd"/>
      <w:r w:rsidRPr="0097611E">
        <w:rPr>
          <w:sz w:val="19"/>
          <w:szCs w:val="19"/>
        </w:rPr>
        <w:t xml:space="preserve"> de la serie PH cubren perfectamente todas las necesidades de circulación para una amplia gama de acuarios, cubriendo </w:t>
      </w:r>
      <w:r w:rsidR="003D68A8">
        <w:rPr>
          <w:sz w:val="19"/>
          <w:szCs w:val="19"/>
        </w:rPr>
        <w:t>sistemas</w:t>
      </w:r>
      <w:r w:rsidRPr="0097611E">
        <w:rPr>
          <w:sz w:val="19"/>
          <w:szCs w:val="19"/>
        </w:rPr>
        <w:t xml:space="preserve"> desde de 5 hasta 1,800 litros. Están diseñadas para generar circulación además de servir para accionar los filtros más comunes en acuarios de casi cualquier tamaño. Gracias a sus reducidas dimensiones, estas bombas son especialmente apreciadas por su gran eficacia y adaptabilidad al ser instaladas en prácticamente cualquier filtro interior tipo “caja”. Son bombas muy silenciosas, robustas, duraderas, confiables y dotadas de una eficiencia energética óptima.</w:t>
      </w:r>
    </w:p>
    <w:p w:rsidR="003D5B68" w:rsidRDefault="003D5B68" w:rsidP="001B6964">
      <w:pPr>
        <w:spacing w:after="55" w:line="259" w:lineRule="auto"/>
        <w:ind w:left="0" w:right="0" w:firstLine="0"/>
        <w:contextualSpacing/>
        <w:rPr>
          <w:sz w:val="19"/>
          <w:szCs w:val="19"/>
        </w:rPr>
      </w:pPr>
    </w:p>
    <w:p w:rsidR="0078563E" w:rsidRDefault="00AC410A" w:rsidP="001B6964">
      <w:pPr>
        <w:spacing w:after="55" w:line="259" w:lineRule="auto"/>
        <w:ind w:left="0" w:right="0" w:firstLine="0"/>
        <w:contextualSpacing/>
        <w:rPr>
          <w:sz w:val="19"/>
          <w:szCs w:val="19"/>
        </w:rPr>
      </w:pPr>
      <w:r>
        <w:rPr>
          <w:sz w:val="19"/>
          <w:szCs w:val="19"/>
        </w:rPr>
        <w:t>Estas característic</w:t>
      </w:r>
      <w:r w:rsidR="00015590">
        <w:rPr>
          <w:sz w:val="19"/>
          <w:szCs w:val="19"/>
        </w:rPr>
        <w:t>as hacen de este tipo de bombas</w:t>
      </w:r>
      <w:r w:rsidR="00C9548A">
        <w:rPr>
          <w:sz w:val="19"/>
          <w:szCs w:val="19"/>
        </w:rPr>
        <w:t xml:space="preserve"> nuestro mejor aliado a la hora de equipar</w:t>
      </w:r>
      <w:r w:rsidR="0078563E">
        <w:rPr>
          <w:sz w:val="19"/>
          <w:szCs w:val="19"/>
        </w:rPr>
        <w:t xml:space="preserve"> acuarios </w:t>
      </w:r>
      <w:r w:rsidR="00F40997">
        <w:rPr>
          <w:sz w:val="19"/>
          <w:szCs w:val="19"/>
        </w:rPr>
        <w:t>y estanques de diseño compacto.</w:t>
      </w:r>
      <w:r w:rsidR="0078563E">
        <w:rPr>
          <w:sz w:val="19"/>
          <w:szCs w:val="19"/>
        </w:rPr>
        <w:t xml:space="preserve"> </w:t>
      </w:r>
      <w:r w:rsidR="00F40997">
        <w:rPr>
          <w:sz w:val="19"/>
          <w:szCs w:val="19"/>
        </w:rPr>
        <w:t>En este tipo de sistemas</w:t>
      </w:r>
      <w:r w:rsidR="0078563E">
        <w:rPr>
          <w:sz w:val="19"/>
          <w:szCs w:val="19"/>
        </w:rPr>
        <w:t xml:space="preserve"> siempre buscamos el</w:t>
      </w:r>
      <w:r w:rsidR="007D1B59">
        <w:rPr>
          <w:sz w:val="19"/>
          <w:szCs w:val="19"/>
        </w:rPr>
        <w:t xml:space="preserve"> tamaño más reducido posible y</w:t>
      </w:r>
      <w:r w:rsidR="0078563E">
        <w:rPr>
          <w:sz w:val="19"/>
          <w:szCs w:val="19"/>
        </w:rPr>
        <w:t xml:space="preserve"> un aceptable rendimiento</w:t>
      </w:r>
      <w:r w:rsidR="001539E4">
        <w:rPr>
          <w:sz w:val="19"/>
          <w:szCs w:val="19"/>
        </w:rPr>
        <w:t>, sin olvidar</w:t>
      </w:r>
      <w:r w:rsidR="0078563E">
        <w:rPr>
          <w:sz w:val="19"/>
          <w:szCs w:val="19"/>
        </w:rPr>
        <w:t xml:space="preserve"> </w:t>
      </w:r>
      <w:r w:rsidR="001539E4">
        <w:rPr>
          <w:sz w:val="19"/>
          <w:szCs w:val="19"/>
        </w:rPr>
        <w:t>un bajo</w:t>
      </w:r>
      <w:r w:rsidR="0078563E">
        <w:rPr>
          <w:sz w:val="19"/>
          <w:szCs w:val="19"/>
        </w:rPr>
        <w:t xml:space="preserve"> </w:t>
      </w:r>
      <w:r w:rsidR="008A4BCD">
        <w:rPr>
          <w:sz w:val="19"/>
          <w:szCs w:val="19"/>
        </w:rPr>
        <w:t>consumo</w:t>
      </w:r>
      <w:r w:rsidR="009C2FB0">
        <w:rPr>
          <w:sz w:val="19"/>
          <w:szCs w:val="19"/>
        </w:rPr>
        <w:t xml:space="preserve"> eléctrico</w:t>
      </w:r>
      <w:r w:rsidR="008A4BCD">
        <w:rPr>
          <w:sz w:val="19"/>
          <w:szCs w:val="19"/>
        </w:rPr>
        <w:t xml:space="preserve"> y</w:t>
      </w:r>
      <w:r w:rsidR="00C9548A">
        <w:rPr>
          <w:sz w:val="19"/>
          <w:szCs w:val="19"/>
        </w:rPr>
        <w:t xml:space="preserve"> una baja emisión de</w:t>
      </w:r>
      <w:r w:rsidR="007D1B59">
        <w:rPr>
          <w:sz w:val="19"/>
          <w:szCs w:val="19"/>
        </w:rPr>
        <w:t xml:space="preserve"> ruido y vibraciones</w:t>
      </w:r>
      <w:r w:rsidR="00C9548A">
        <w:rPr>
          <w:sz w:val="19"/>
          <w:szCs w:val="19"/>
        </w:rPr>
        <w:t>. También s</w:t>
      </w:r>
      <w:r w:rsidR="008A4BCD">
        <w:rPr>
          <w:sz w:val="19"/>
          <w:szCs w:val="19"/>
        </w:rPr>
        <w:t>on muy apropiadas</w:t>
      </w:r>
      <w:r w:rsidR="00C9548A">
        <w:rPr>
          <w:sz w:val="19"/>
          <w:szCs w:val="19"/>
        </w:rPr>
        <w:t xml:space="preserve"> para aquellos aficionados avanzados que necesitan</w:t>
      </w:r>
      <w:r w:rsidR="008A4BCD">
        <w:rPr>
          <w:sz w:val="19"/>
          <w:szCs w:val="19"/>
        </w:rPr>
        <w:t xml:space="preserve"> accionar reac</w:t>
      </w:r>
      <w:r w:rsidR="00C9548A">
        <w:rPr>
          <w:sz w:val="19"/>
          <w:szCs w:val="19"/>
        </w:rPr>
        <w:t>tores en acuarios plantados o</w:t>
      </w:r>
      <w:r w:rsidR="008A4BCD">
        <w:rPr>
          <w:sz w:val="19"/>
          <w:szCs w:val="19"/>
        </w:rPr>
        <w:t xml:space="preserve"> arrecife</w:t>
      </w:r>
      <w:r w:rsidR="00C9548A">
        <w:rPr>
          <w:sz w:val="19"/>
          <w:szCs w:val="19"/>
        </w:rPr>
        <w:t xml:space="preserve">, </w:t>
      </w:r>
      <w:r w:rsidR="008A4BCD">
        <w:rPr>
          <w:sz w:val="19"/>
          <w:szCs w:val="19"/>
        </w:rPr>
        <w:t xml:space="preserve">y </w:t>
      </w:r>
      <w:r w:rsidR="00C9548A">
        <w:rPr>
          <w:sz w:val="19"/>
          <w:szCs w:val="19"/>
        </w:rPr>
        <w:t xml:space="preserve">también </w:t>
      </w:r>
      <w:r w:rsidR="008A4BCD">
        <w:rPr>
          <w:sz w:val="19"/>
          <w:szCs w:val="19"/>
        </w:rPr>
        <w:t xml:space="preserve">para solventar </w:t>
      </w:r>
      <w:r w:rsidR="00C9548A">
        <w:rPr>
          <w:sz w:val="19"/>
          <w:szCs w:val="19"/>
        </w:rPr>
        <w:t>las demandas</w:t>
      </w:r>
      <w:r w:rsidR="008A4BCD">
        <w:rPr>
          <w:sz w:val="19"/>
          <w:szCs w:val="19"/>
        </w:rPr>
        <w:t xml:space="preserve"> de </w:t>
      </w:r>
      <w:r w:rsidR="00C9548A">
        <w:rPr>
          <w:sz w:val="19"/>
          <w:szCs w:val="19"/>
        </w:rPr>
        <w:t>oxigenación y circulación</w:t>
      </w:r>
      <w:r w:rsidR="008A4BCD">
        <w:rPr>
          <w:sz w:val="19"/>
          <w:szCs w:val="19"/>
        </w:rPr>
        <w:t xml:space="preserve"> en áreas de difícil acceso o espacio reducido.</w:t>
      </w:r>
    </w:p>
    <w:p w:rsidR="00574759" w:rsidRDefault="00574759" w:rsidP="001B6964">
      <w:pPr>
        <w:ind w:left="0" w:firstLine="0"/>
        <w:contextualSpacing/>
        <w:rPr>
          <w:b/>
          <w:sz w:val="18"/>
          <w:szCs w:val="18"/>
        </w:rPr>
      </w:pPr>
    </w:p>
    <w:p w:rsidR="00BA368A" w:rsidRPr="009C6B8B" w:rsidRDefault="00BA368A" w:rsidP="001B6964">
      <w:pPr>
        <w:ind w:left="0" w:firstLine="0"/>
        <w:contextualSpacing/>
        <w:rPr>
          <w:b/>
          <w:sz w:val="18"/>
          <w:szCs w:val="18"/>
        </w:rPr>
      </w:pPr>
      <w:r w:rsidRPr="009C6B8B">
        <w:rPr>
          <w:b/>
          <w:sz w:val="18"/>
          <w:szCs w:val="18"/>
        </w:rPr>
        <w:t>CARACTERÍSTICAS:</w:t>
      </w:r>
      <w:r w:rsidRPr="00B66791">
        <w:rPr>
          <w:noProof/>
        </w:rPr>
        <w:t xml:space="preserve"> </w:t>
      </w:r>
      <w:r>
        <w:rPr>
          <w:noProof/>
        </w:rPr>
        <w:t xml:space="preserve">   </w:t>
      </w:r>
    </w:p>
    <w:p w:rsidR="00BA368A" w:rsidRDefault="00BA368A" w:rsidP="001B6964">
      <w:pPr>
        <w:ind w:left="0" w:firstLine="0"/>
        <w:contextualSpacing/>
        <w:rPr>
          <w:szCs w:val="20"/>
        </w:rPr>
      </w:pPr>
    </w:p>
    <w:tbl>
      <w:tblPr>
        <w:tblStyle w:val="Tablaconcuadrcula"/>
        <w:tblW w:w="10790" w:type="dxa"/>
        <w:tblLook w:val="04A0" w:firstRow="1" w:lastRow="0" w:firstColumn="1" w:lastColumn="0" w:noHBand="0" w:noVBand="1"/>
      </w:tblPr>
      <w:tblGrid>
        <w:gridCol w:w="910"/>
        <w:gridCol w:w="973"/>
        <w:gridCol w:w="939"/>
        <w:gridCol w:w="1016"/>
        <w:gridCol w:w="1102"/>
        <w:gridCol w:w="986"/>
        <w:gridCol w:w="706"/>
        <w:gridCol w:w="1445"/>
        <w:gridCol w:w="1417"/>
        <w:gridCol w:w="1296"/>
      </w:tblGrid>
      <w:tr w:rsidR="00BA0860" w:rsidRPr="00881252" w:rsidTr="00165C9A">
        <w:trPr>
          <w:trHeight w:val="569"/>
        </w:trPr>
        <w:tc>
          <w:tcPr>
            <w:tcW w:w="910" w:type="dxa"/>
            <w:vAlign w:val="center"/>
          </w:tcPr>
          <w:p w:rsidR="00BA368A" w:rsidRPr="00A04D4B" w:rsidRDefault="00BA368A" w:rsidP="001B6964">
            <w:pPr>
              <w:ind w:left="0" w:firstLine="0"/>
              <w:contextualSpacing/>
              <w:jc w:val="center"/>
              <w:rPr>
                <w:b/>
                <w:sz w:val="18"/>
                <w:szCs w:val="20"/>
              </w:rPr>
            </w:pPr>
            <w:r w:rsidRPr="00A04D4B">
              <w:rPr>
                <w:b/>
                <w:sz w:val="18"/>
                <w:szCs w:val="20"/>
              </w:rPr>
              <w:t>Modelo:</w:t>
            </w:r>
          </w:p>
        </w:tc>
        <w:tc>
          <w:tcPr>
            <w:tcW w:w="973" w:type="dxa"/>
            <w:vAlign w:val="center"/>
          </w:tcPr>
          <w:p w:rsidR="00BA368A" w:rsidRPr="00A04D4B" w:rsidRDefault="00BA368A" w:rsidP="001B6964">
            <w:pPr>
              <w:ind w:left="0" w:firstLine="0"/>
              <w:contextualSpacing/>
              <w:jc w:val="center"/>
              <w:rPr>
                <w:b/>
                <w:sz w:val="18"/>
                <w:szCs w:val="20"/>
              </w:rPr>
            </w:pPr>
            <w:r w:rsidRPr="00A04D4B">
              <w:rPr>
                <w:b/>
                <w:sz w:val="18"/>
                <w:szCs w:val="20"/>
              </w:rPr>
              <w:t>Corriente:</w:t>
            </w:r>
          </w:p>
          <w:p w:rsidR="00BA368A" w:rsidRPr="00A04D4B" w:rsidRDefault="00BA368A" w:rsidP="001B6964">
            <w:pPr>
              <w:ind w:left="0" w:firstLine="0"/>
              <w:contextualSpacing/>
              <w:jc w:val="center"/>
              <w:rPr>
                <w:b/>
                <w:sz w:val="18"/>
                <w:szCs w:val="20"/>
              </w:rPr>
            </w:pPr>
            <w:r w:rsidRPr="00A04D4B">
              <w:rPr>
                <w:b/>
                <w:sz w:val="18"/>
                <w:szCs w:val="20"/>
              </w:rPr>
              <w:t>(V/HZ)</w:t>
            </w:r>
          </w:p>
        </w:tc>
        <w:tc>
          <w:tcPr>
            <w:tcW w:w="939" w:type="dxa"/>
            <w:vAlign w:val="center"/>
          </w:tcPr>
          <w:p w:rsidR="00BA368A" w:rsidRPr="00A04D4B" w:rsidRDefault="00BA368A" w:rsidP="001B6964">
            <w:pPr>
              <w:ind w:left="0" w:firstLine="0"/>
              <w:contextualSpacing/>
              <w:jc w:val="center"/>
              <w:rPr>
                <w:b/>
                <w:sz w:val="18"/>
                <w:szCs w:val="20"/>
              </w:rPr>
            </w:pPr>
            <w:r w:rsidRPr="00A04D4B">
              <w:rPr>
                <w:b/>
                <w:sz w:val="18"/>
                <w:szCs w:val="20"/>
              </w:rPr>
              <w:t>Consumo</w:t>
            </w:r>
          </w:p>
          <w:p w:rsidR="00BA368A" w:rsidRPr="00A04D4B" w:rsidRDefault="00BA368A" w:rsidP="001B6964">
            <w:pPr>
              <w:ind w:left="0" w:firstLine="0"/>
              <w:contextualSpacing/>
              <w:jc w:val="center"/>
              <w:rPr>
                <w:b/>
                <w:sz w:val="18"/>
                <w:szCs w:val="20"/>
              </w:rPr>
            </w:pPr>
            <w:r w:rsidRPr="00A04D4B">
              <w:rPr>
                <w:b/>
                <w:sz w:val="18"/>
                <w:szCs w:val="20"/>
              </w:rPr>
              <w:t>(W/h)</w:t>
            </w:r>
          </w:p>
        </w:tc>
        <w:tc>
          <w:tcPr>
            <w:tcW w:w="1016" w:type="dxa"/>
            <w:vAlign w:val="center"/>
          </w:tcPr>
          <w:p w:rsidR="00BA368A" w:rsidRPr="00A04D4B" w:rsidRDefault="00BA368A" w:rsidP="001B6964">
            <w:pPr>
              <w:ind w:left="0" w:firstLine="0"/>
              <w:contextualSpacing/>
              <w:jc w:val="center"/>
              <w:rPr>
                <w:b/>
                <w:sz w:val="18"/>
                <w:szCs w:val="20"/>
              </w:rPr>
            </w:pPr>
            <w:r w:rsidRPr="00A04D4B">
              <w:rPr>
                <w:b/>
                <w:sz w:val="18"/>
                <w:szCs w:val="20"/>
              </w:rPr>
              <w:t>Protección</w:t>
            </w:r>
          </w:p>
          <w:p w:rsidR="00BA368A" w:rsidRPr="00A04D4B" w:rsidRDefault="00BA368A" w:rsidP="001B6964">
            <w:pPr>
              <w:ind w:left="0" w:firstLine="0"/>
              <w:contextualSpacing/>
              <w:jc w:val="center"/>
              <w:rPr>
                <w:b/>
                <w:sz w:val="18"/>
                <w:szCs w:val="20"/>
              </w:rPr>
            </w:pPr>
            <w:r w:rsidRPr="00A04D4B">
              <w:rPr>
                <w:b/>
                <w:sz w:val="18"/>
                <w:szCs w:val="20"/>
              </w:rPr>
              <w:t>al agua:</w:t>
            </w:r>
          </w:p>
        </w:tc>
        <w:tc>
          <w:tcPr>
            <w:tcW w:w="1102" w:type="dxa"/>
            <w:vAlign w:val="center"/>
          </w:tcPr>
          <w:p w:rsidR="00BA368A" w:rsidRPr="00A04D4B" w:rsidRDefault="00BA368A" w:rsidP="001B6964">
            <w:pPr>
              <w:ind w:left="0" w:firstLine="0"/>
              <w:contextualSpacing/>
              <w:jc w:val="center"/>
              <w:rPr>
                <w:b/>
                <w:sz w:val="18"/>
                <w:szCs w:val="20"/>
              </w:rPr>
            </w:pPr>
            <w:r w:rsidRPr="00A04D4B">
              <w:rPr>
                <w:b/>
                <w:sz w:val="18"/>
                <w:szCs w:val="20"/>
              </w:rPr>
              <w:t>Long. Cable</w:t>
            </w:r>
          </w:p>
          <w:p w:rsidR="00BA368A" w:rsidRPr="00A04D4B" w:rsidRDefault="00BA368A" w:rsidP="001B6964">
            <w:pPr>
              <w:ind w:left="0" w:firstLine="0"/>
              <w:contextualSpacing/>
              <w:jc w:val="center"/>
              <w:rPr>
                <w:b/>
                <w:sz w:val="18"/>
                <w:szCs w:val="20"/>
              </w:rPr>
            </w:pPr>
            <w:r w:rsidRPr="00A04D4B">
              <w:rPr>
                <w:b/>
                <w:sz w:val="18"/>
                <w:szCs w:val="20"/>
              </w:rPr>
              <w:t xml:space="preserve">(cm) </w:t>
            </w:r>
          </w:p>
        </w:tc>
        <w:tc>
          <w:tcPr>
            <w:tcW w:w="986" w:type="dxa"/>
            <w:vAlign w:val="center"/>
          </w:tcPr>
          <w:p w:rsidR="00BA368A" w:rsidRPr="00A04D4B" w:rsidRDefault="00BA368A" w:rsidP="001B6964">
            <w:pPr>
              <w:ind w:left="0" w:firstLine="0"/>
              <w:contextualSpacing/>
              <w:jc w:val="center"/>
              <w:rPr>
                <w:b/>
                <w:sz w:val="18"/>
                <w:szCs w:val="20"/>
              </w:rPr>
            </w:pPr>
            <w:r w:rsidRPr="00A04D4B">
              <w:rPr>
                <w:b/>
                <w:sz w:val="18"/>
                <w:szCs w:val="20"/>
              </w:rPr>
              <w:t>Tipo de enchufe</w:t>
            </w:r>
          </w:p>
        </w:tc>
        <w:tc>
          <w:tcPr>
            <w:tcW w:w="706" w:type="dxa"/>
            <w:vAlign w:val="center"/>
          </w:tcPr>
          <w:p w:rsidR="00BA368A" w:rsidRPr="00A04D4B" w:rsidRDefault="00BA368A" w:rsidP="001B6964">
            <w:pPr>
              <w:ind w:left="0" w:firstLine="0"/>
              <w:contextualSpacing/>
              <w:jc w:val="center"/>
              <w:rPr>
                <w:b/>
                <w:sz w:val="18"/>
                <w:szCs w:val="20"/>
              </w:rPr>
            </w:pPr>
            <w:r w:rsidRPr="00A04D4B">
              <w:rPr>
                <w:b/>
                <w:sz w:val="18"/>
                <w:szCs w:val="20"/>
              </w:rPr>
              <w:t>Peso:</w:t>
            </w:r>
          </w:p>
          <w:p w:rsidR="00BA368A" w:rsidRPr="00A04D4B" w:rsidRDefault="00BA368A" w:rsidP="001B6964">
            <w:pPr>
              <w:ind w:left="0" w:firstLine="0"/>
              <w:contextualSpacing/>
              <w:jc w:val="center"/>
              <w:rPr>
                <w:b/>
                <w:sz w:val="18"/>
                <w:szCs w:val="20"/>
              </w:rPr>
            </w:pPr>
            <w:r w:rsidRPr="00A04D4B">
              <w:rPr>
                <w:b/>
                <w:sz w:val="18"/>
                <w:szCs w:val="20"/>
              </w:rPr>
              <w:t>(grs.)</w:t>
            </w:r>
          </w:p>
        </w:tc>
        <w:tc>
          <w:tcPr>
            <w:tcW w:w="1445" w:type="dxa"/>
            <w:vAlign w:val="center"/>
          </w:tcPr>
          <w:p w:rsidR="00BA368A" w:rsidRPr="007D5906" w:rsidRDefault="00BA368A" w:rsidP="001B6964">
            <w:pPr>
              <w:ind w:left="0" w:firstLine="0"/>
              <w:contextualSpacing/>
              <w:jc w:val="center"/>
              <w:rPr>
                <w:b/>
                <w:sz w:val="18"/>
                <w:szCs w:val="20"/>
                <w:lang w:val="pt-BR"/>
              </w:rPr>
            </w:pPr>
            <w:r w:rsidRPr="007D5906">
              <w:rPr>
                <w:b/>
                <w:sz w:val="18"/>
                <w:szCs w:val="20"/>
                <w:lang w:val="pt-BR"/>
              </w:rPr>
              <w:t>Dimensiones:</w:t>
            </w:r>
          </w:p>
          <w:p w:rsidR="00BA368A" w:rsidRPr="007D5906" w:rsidRDefault="00BA368A" w:rsidP="001B6964">
            <w:pPr>
              <w:ind w:left="0" w:firstLine="0"/>
              <w:contextualSpacing/>
              <w:jc w:val="center"/>
              <w:rPr>
                <w:b/>
                <w:sz w:val="18"/>
                <w:szCs w:val="20"/>
                <w:lang w:val="pt-BR"/>
              </w:rPr>
            </w:pPr>
            <w:r w:rsidRPr="007D5906">
              <w:rPr>
                <w:b/>
                <w:sz w:val="18"/>
                <w:szCs w:val="20"/>
                <w:lang w:val="pt-BR"/>
              </w:rPr>
              <w:t>(l x a x h, mm)</w:t>
            </w:r>
          </w:p>
        </w:tc>
        <w:tc>
          <w:tcPr>
            <w:tcW w:w="1417" w:type="dxa"/>
          </w:tcPr>
          <w:p w:rsidR="00BA368A" w:rsidRPr="008F347C" w:rsidRDefault="00BA368A" w:rsidP="001B6964">
            <w:pPr>
              <w:ind w:left="0" w:firstLine="0"/>
              <w:contextualSpacing/>
              <w:jc w:val="center"/>
              <w:rPr>
                <w:b/>
                <w:sz w:val="16"/>
                <w:szCs w:val="20"/>
              </w:rPr>
            </w:pPr>
            <w:r w:rsidRPr="008F347C">
              <w:rPr>
                <w:b/>
                <w:sz w:val="16"/>
                <w:szCs w:val="20"/>
              </w:rPr>
              <w:t>Peso c. embalaje:</w:t>
            </w:r>
          </w:p>
          <w:p w:rsidR="00BA368A" w:rsidRPr="00A04D4B" w:rsidRDefault="00BA368A" w:rsidP="001B6964">
            <w:pPr>
              <w:ind w:left="0" w:firstLine="0"/>
              <w:contextualSpacing/>
              <w:jc w:val="center"/>
              <w:rPr>
                <w:b/>
                <w:sz w:val="18"/>
                <w:szCs w:val="20"/>
              </w:rPr>
            </w:pPr>
            <w:r w:rsidRPr="00A04D4B">
              <w:rPr>
                <w:b/>
                <w:sz w:val="18"/>
                <w:szCs w:val="20"/>
              </w:rPr>
              <w:t>(grs.)</w:t>
            </w:r>
          </w:p>
        </w:tc>
        <w:tc>
          <w:tcPr>
            <w:tcW w:w="1296" w:type="dxa"/>
          </w:tcPr>
          <w:p w:rsidR="00BA368A" w:rsidRPr="007D5906" w:rsidRDefault="00BA368A" w:rsidP="001B6964">
            <w:pPr>
              <w:ind w:left="0" w:firstLine="0"/>
              <w:contextualSpacing/>
              <w:jc w:val="center"/>
              <w:rPr>
                <w:b/>
                <w:sz w:val="18"/>
                <w:szCs w:val="20"/>
                <w:lang w:val="pt-BR"/>
              </w:rPr>
            </w:pPr>
            <w:r w:rsidRPr="007D5906">
              <w:rPr>
                <w:b/>
                <w:sz w:val="18"/>
                <w:szCs w:val="20"/>
                <w:lang w:val="pt-BR"/>
              </w:rPr>
              <w:t xml:space="preserve">Dim. </w:t>
            </w:r>
            <w:proofErr w:type="spellStart"/>
            <w:r w:rsidRPr="007D5906">
              <w:rPr>
                <w:b/>
                <w:sz w:val="18"/>
                <w:szCs w:val="20"/>
                <w:lang w:val="pt-BR"/>
              </w:rPr>
              <w:t>embalaje</w:t>
            </w:r>
            <w:proofErr w:type="spellEnd"/>
            <w:r w:rsidRPr="007D5906">
              <w:rPr>
                <w:b/>
                <w:sz w:val="18"/>
                <w:szCs w:val="20"/>
                <w:lang w:val="pt-BR"/>
              </w:rPr>
              <w:t>:</w:t>
            </w:r>
          </w:p>
          <w:p w:rsidR="00BA368A" w:rsidRPr="007D5906" w:rsidRDefault="00BA368A" w:rsidP="001B6964">
            <w:pPr>
              <w:ind w:left="0" w:firstLine="0"/>
              <w:contextualSpacing/>
              <w:jc w:val="center"/>
              <w:rPr>
                <w:b/>
                <w:sz w:val="18"/>
                <w:szCs w:val="20"/>
                <w:lang w:val="pt-BR"/>
              </w:rPr>
            </w:pPr>
            <w:r w:rsidRPr="007D5906">
              <w:rPr>
                <w:b/>
                <w:sz w:val="18"/>
                <w:szCs w:val="20"/>
                <w:lang w:val="pt-BR"/>
              </w:rPr>
              <w:t>(l x a x h, mm)</w:t>
            </w:r>
          </w:p>
        </w:tc>
      </w:tr>
      <w:tr w:rsidR="00BA0860" w:rsidTr="00165C9A">
        <w:trPr>
          <w:trHeight w:val="234"/>
        </w:trPr>
        <w:tc>
          <w:tcPr>
            <w:tcW w:w="910" w:type="dxa"/>
          </w:tcPr>
          <w:p w:rsidR="00BA368A" w:rsidRPr="0071489E" w:rsidRDefault="00F40997" w:rsidP="001B6964">
            <w:pPr>
              <w:ind w:left="0" w:firstLine="0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</w:t>
            </w:r>
            <w:r w:rsidR="007A0A2C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</w:t>
            </w:r>
            <w:r w:rsidR="0078563E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73" w:type="dxa"/>
          </w:tcPr>
          <w:p w:rsidR="00BA368A" w:rsidRPr="003D3D25" w:rsidRDefault="00BA368A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127V/</w:t>
            </w:r>
            <w:r w:rsidRPr="003D3D25">
              <w:rPr>
                <w:sz w:val="16"/>
                <w:szCs w:val="16"/>
              </w:rPr>
              <w:t>60Hz</w:t>
            </w:r>
          </w:p>
        </w:tc>
        <w:tc>
          <w:tcPr>
            <w:tcW w:w="939" w:type="dxa"/>
          </w:tcPr>
          <w:p w:rsidR="00BA368A" w:rsidRPr="003D3D25" w:rsidRDefault="00F40997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16" w:type="dxa"/>
          </w:tcPr>
          <w:p w:rsidR="00BA368A" w:rsidRPr="003D3D25" w:rsidRDefault="000063D4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IPX68</w:t>
            </w:r>
          </w:p>
        </w:tc>
        <w:tc>
          <w:tcPr>
            <w:tcW w:w="1102" w:type="dxa"/>
          </w:tcPr>
          <w:p w:rsidR="00BA368A" w:rsidRPr="003D3D25" w:rsidRDefault="008B3030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C5B38">
              <w:rPr>
                <w:sz w:val="16"/>
                <w:szCs w:val="16"/>
              </w:rPr>
              <w:t>60</w:t>
            </w:r>
          </w:p>
        </w:tc>
        <w:tc>
          <w:tcPr>
            <w:tcW w:w="986" w:type="dxa"/>
          </w:tcPr>
          <w:p w:rsidR="00BA368A" w:rsidRPr="003D3D25" w:rsidRDefault="00BA368A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 w:rsidRPr="003D3D25">
              <w:rPr>
                <w:sz w:val="16"/>
                <w:szCs w:val="16"/>
              </w:rPr>
              <w:t>“A” 2 pines</w:t>
            </w:r>
          </w:p>
        </w:tc>
        <w:tc>
          <w:tcPr>
            <w:tcW w:w="706" w:type="dxa"/>
          </w:tcPr>
          <w:p w:rsidR="00BA368A" w:rsidRPr="00616601" w:rsidRDefault="008B3030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1445" w:type="dxa"/>
          </w:tcPr>
          <w:p w:rsidR="00BA368A" w:rsidRDefault="000845EF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2561C">
              <w:rPr>
                <w:sz w:val="16"/>
                <w:szCs w:val="16"/>
              </w:rPr>
              <w:t>0</w:t>
            </w:r>
            <w:r w:rsidR="003A20CC">
              <w:rPr>
                <w:sz w:val="16"/>
                <w:szCs w:val="16"/>
              </w:rPr>
              <w:t xml:space="preserve"> x </w:t>
            </w:r>
            <w:r>
              <w:rPr>
                <w:sz w:val="16"/>
                <w:szCs w:val="16"/>
              </w:rPr>
              <w:t>30</w:t>
            </w:r>
            <w:r w:rsidR="00B2561C">
              <w:rPr>
                <w:sz w:val="16"/>
                <w:szCs w:val="16"/>
              </w:rPr>
              <w:t xml:space="preserve"> x 4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BA368A" w:rsidRDefault="006553EE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91A20">
              <w:rPr>
                <w:sz w:val="16"/>
                <w:szCs w:val="16"/>
              </w:rPr>
              <w:t>85</w:t>
            </w:r>
          </w:p>
        </w:tc>
        <w:tc>
          <w:tcPr>
            <w:tcW w:w="1296" w:type="dxa"/>
          </w:tcPr>
          <w:p w:rsidR="00BA368A" w:rsidRPr="00063CAE" w:rsidRDefault="00B91A20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x 40 x 70</w:t>
            </w:r>
          </w:p>
        </w:tc>
      </w:tr>
      <w:tr w:rsidR="005B48C7" w:rsidTr="00165C9A">
        <w:trPr>
          <w:trHeight w:val="223"/>
        </w:trPr>
        <w:tc>
          <w:tcPr>
            <w:tcW w:w="910" w:type="dxa"/>
          </w:tcPr>
          <w:p w:rsidR="005B48C7" w:rsidRPr="0071489E" w:rsidRDefault="00F40997" w:rsidP="001B6964">
            <w:pPr>
              <w:ind w:left="0" w:firstLine="0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PH-1200</w:t>
            </w:r>
          </w:p>
        </w:tc>
        <w:tc>
          <w:tcPr>
            <w:tcW w:w="973" w:type="dxa"/>
          </w:tcPr>
          <w:p w:rsidR="005B48C7" w:rsidRPr="003D3D25" w:rsidRDefault="005B48C7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127V/</w:t>
            </w:r>
            <w:r w:rsidRPr="003D3D25">
              <w:rPr>
                <w:sz w:val="16"/>
                <w:szCs w:val="16"/>
              </w:rPr>
              <w:t>60Hz</w:t>
            </w:r>
          </w:p>
        </w:tc>
        <w:tc>
          <w:tcPr>
            <w:tcW w:w="939" w:type="dxa"/>
          </w:tcPr>
          <w:p w:rsidR="005B48C7" w:rsidRPr="003D3D25" w:rsidRDefault="00F40997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016" w:type="dxa"/>
          </w:tcPr>
          <w:p w:rsidR="005B48C7" w:rsidRPr="003D3D25" w:rsidRDefault="005B48C7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IPX68</w:t>
            </w:r>
          </w:p>
        </w:tc>
        <w:tc>
          <w:tcPr>
            <w:tcW w:w="1102" w:type="dxa"/>
          </w:tcPr>
          <w:p w:rsidR="005B48C7" w:rsidRPr="003D3D25" w:rsidRDefault="00E34079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FA4CFB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</w:tcPr>
          <w:p w:rsidR="005B48C7" w:rsidRPr="003D3D25" w:rsidRDefault="005B48C7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 w:rsidRPr="003D3D25">
              <w:rPr>
                <w:sz w:val="16"/>
                <w:szCs w:val="16"/>
              </w:rPr>
              <w:t>“A” 2 pines</w:t>
            </w:r>
          </w:p>
        </w:tc>
        <w:tc>
          <w:tcPr>
            <w:tcW w:w="706" w:type="dxa"/>
          </w:tcPr>
          <w:p w:rsidR="005B48C7" w:rsidRPr="00616601" w:rsidRDefault="00B91A20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</w:t>
            </w:r>
          </w:p>
        </w:tc>
        <w:tc>
          <w:tcPr>
            <w:tcW w:w="1445" w:type="dxa"/>
          </w:tcPr>
          <w:p w:rsidR="005B48C7" w:rsidRDefault="00B91A20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</w:t>
            </w:r>
            <w:r w:rsidR="005B48C7">
              <w:rPr>
                <w:sz w:val="16"/>
                <w:szCs w:val="16"/>
              </w:rPr>
              <w:t xml:space="preserve"> x </w:t>
            </w:r>
            <w:r>
              <w:rPr>
                <w:sz w:val="16"/>
                <w:szCs w:val="16"/>
              </w:rPr>
              <w:t>79</w:t>
            </w:r>
            <w:r w:rsidR="00B2561C">
              <w:rPr>
                <w:sz w:val="16"/>
                <w:szCs w:val="16"/>
              </w:rPr>
              <w:t xml:space="preserve"> x 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1417" w:type="dxa"/>
          </w:tcPr>
          <w:p w:rsidR="005B48C7" w:rsidRDefault="00B91A20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</w:t>
            </w:r>
          </w:p>
        </w:tc>
        <w:tc>
          <w:tcPr>
            <w:tcW w:w="1296" w:type="dxa"/>
          </w:tcPr>
          <w:p w:rsidR="005B48C7" w:rsidRPr="00063CAE" w:rsidRDefault="00FB12EC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  <w:r w:rsidR="00C51B35">
              <w:rPr>
                <w:sz w:val="16"/>
                <w:szCs w:val="16"/>
              </w:rPr>
              <w:t xml:space="preserve"> x </w:t>
            </w:r>
            <w:r>
              <w:rPr>
                <w:sz w:val="16"/>
                <w:szCs w:val="16"/>
              </w:rPr>
              <w:t>10</w:t>
            </w:r>
            <w:r w:rsidR="00B91A20">
              <w:rPr>
                <w:sz w:val="16"/>
                <w:szCs w:val="16"/>
              </w:rPr>
              <w:t>5</w:t>
            </w:r>
            <w:r w:rsidR="00C51B35">
              <w:rPr>
                <w:sz w:val="16"/>
                <w:szCs w:val="16"/>
              </w:rPr>
              <w:t xml:space="preserve"> x </w:t>
            </w:r>
            <w:r w:rsidR="00B91A20">
              <w:rPr>
                <w:sz w:val="16"/>
                <w:szCs w:val="16"/>
              </w:rPr>
              <w:t>14</w:t>
            </w:r>
            <w:r w:rsidR="00715423">
              <w:rPr>
                <w:sz w:val="16"/>
                <w:szCs w:val="16"/>
              </w:rPr>
              <w:t>5</w:t>
            </w:r>
          </w:p>
        </w:tc>
      </w:tr>
      <w:tr w:rsidR="007A0A2C" w:rsidTr="00165C9A">
        <w:trPr>
          <w:trHeight w:val="223"/>
        </w:trPr>
        <w:tc>
          <w:tcPr>
            <w:tcW w:w="910" w:type="dxa"/>
          </w:tcPr>
          <w:p w:rsidR="007A0A2C" w:rsidRDefault="00F40997" w:rsidP="001B6964">
            <w:pPr>
              <w:ind w:left="0" w:firstLine="0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PH-1800</w:t>
            </w:r>
          </w:p>
        </w:tc>
        <w:tc>
          <w:tcPr>
            <w:tcW w:w="973" w:type="dxa"/>
          </w:tcPr>
          <w:p w:rsidR="007A0A2C" w:rsidRPr="003D3D25" w:rsidRDefault="007A0A2C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127V/</w:t>
            </w:r>
            <w:r w:rsidRPr="003D3D25">
              <w:rPr>
                <w:sz w:val="16"/>
                <w:szCs w:val="16"/>
              </w:rPr>
              <w:t>60Hz</w:t>
            </w:r>
          </w:p>
        </w:tc>
        <w:tc>
          <w:tcPr>
            <w:tcW w:w="939" w:type="dxa"/>
          </w:tcPr>
          <w:p w:rsidR="007A0A2C" w:rsidRDefault="00F40997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1016" w:type="dxa"/>
          </w:tcPr>
          <w:p w:rsidR="007A0A2C" w:rsidRDefault="007A0A2C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IPX68</w:t>
            </w:r>
          </w:p>
        </w:tc>
        <w:tc>
          <w:tcPr>
            <w:tcW w:w="1102" w:type="dxa"/>
          </w:tcPr>
          <w:p w:rsidR="007A0A2C" w:rsidRDefault="00E34079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D01E71">
              <w:rPr>
                <w:sz w:val="16"/>
                <w:szCs w:val="16"/>
              </w:rPr>
              <w:t>0</w:t>
            </w:r>
          </w:p>
        </w:tc>
        <w:tc>
          <w:tcPr>
            <w:tcW w:w="986" w:type="dxa"/>
          </w:tcPr>
          <w:p w:rsidR="007A0A2C" w:rsidRPr="003D3D25" w:rsidRDefault="002C0DE5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 w:rsidRPr="003D3D25">
              <w:rPr>
                <w:sz w:val="16"/>
                <w:szCs w:val="16"/>
              </w:rPr>
              <w:t>“A” 2 pines</w:t>
            </w:r>
          </w:p>
        </w:tc>
        <w:tc>
          <w:tcPr>
            <w:tcW w:w="706" w:type="dxa"/>
          </w:tcPr>
          <w:p w:rsidR="007A0A2C" w:rsidRDefault="00D01E71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</w:t>
            </w:r>
          </w:p>
        </w:tc>
        <w:tc>
          <w:tcPr>
            <w:tcW w:w="1445" w:type="dxa"/>
          </w:tcPr>
          <w:p w:rsidR="007A0A2C" w:rsidRDefault="00D01E71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  <w:r w:rsidR="00B2561C">
              <w:rPr>
                <w:sz w:val="16"/>
                <w:szCs w:val="16"/>
              </w:rPr>
              <w:t xml:space="preserve"> x </w:t>
            </w:r>
            <w:r>
              <w:rPr>
                <w:sz w:val="16"/>
                <w:szCs w:val="16"/>
              </w:rPr>
              <w:t>85</w:t>
            </w:r>
            <w:r w:rsidR="00B2561C">
              <w:rPr>
                <w:sz w:val="16"/>
                <w:szCs w:val="16"/>
              </w:rPr>
              <w:t xml:space="preserve"> x </w:t>
            </w:r>
            <w:r>
              <w:rPr>
                <w:sz w:val="16"/>
                <w:szCs w:val="16"/>
              </w:rPr>
              <w:t>95</w:t>
            </w:r>
          </w:p>
        </w:tc>
        <w:tc>
          <w:tcPr>
            <w:tcW w:w="1417" w:type="dxa"/>
          </w:tcPr>
          <w:p w:rsidR="007A0A2C" w:rsidRDefault="00B25535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4506B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000</w:t>
            </w:r>
          </w:p>
        </w:tc>
        <w:tc>
          <w:tcPr>
            <w:tcW w:w="1296" w:type="dxa"/>
          </w:tcPr>
          <w:p w:rsidR="007A0A2C" w:rsidRDefault="00C51B35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1433B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0 x </w:t>
            </w:r>
            <w:r w:rsidR="00B25535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5 x </w:t>
            </w:r>
            <w:r w:rsidR="00B25535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0</w:t>
            </w:r>
          </w:p>
        </w:tc>
      </w:tr>
      <w:tr w:rsidR="007A0A2C" w:rsidTr="00165C9A">
        <w:trPr>
          <w:trHeight w:val="223"/>
        </w:trPr>
        <w:tc>
          <w:tcPr>
            <w:tcW w:w="910" w:type="dxa"/>
          </w:tcPr>
          <w:p w:rsidR="007A0A2C" w:rsidRDefault="00F40997" w:rsidP="001B6964">
            <w:pPr>
              <w:ind w:left="0" w:firstLine="0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PH-2500</w:t>
            </w:r>
          </w:p>
        </w:tc>
        <w:tc>
          <w:tcPr>
            <w:tcW w:w="973" w:type="dxa"/>
          </w:tcPr>
          <w:p w:rsidR="007A0A2C" w:rsidRPr="003D3D25" w:rsidRDefault="007A0A2C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127V/</w:t>
            </w:r>
            <w:r w:rsidRPr="003D3D25">
              <w:rPr>
                <w:sz w:val="16"/>
                <w:szCs w:val="16"/>
              </w:rPr>
              <w:t>60Hz</w:t>
            </w:r>
          </w:p>
        </w:tc>
        <w:tc>
          <w:tcPr>
            <w:tcW w:w="939" w:type="dxa"/>
          </w:tcPr>
          <w:p w:rsidR="007A0A2C" w:rsidRDefault="00F40997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1016" w:type="dxa"/>
          </w:tcPr>
          <w:p w:rsidR="007A0A2C" w:rsidRDefault="007A0A2C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IPX68</w:t>
            </w:r>
          </w:p>
        </w:tc>
        <w:tc>
          <w:tcPr>
            <w:tcW w:w="1102" w:type="dxa"/>
          </w:tcPr>
          <w:p w:rsidR="007A0A2C" w:rsidRDefault="00E34079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D74EF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86" w:type="dxa"/>
          </w:tcPr>
          <w:p w:rsidR="007A0A2C" w:rsidRPr="003D3D25" w:rsidRDefault="002C0DE5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 w:rsidRPr="003D3D25">
              <w:rPr>
                <w:sz w:val="16"/>
                <w:szCs w:val="16"/>
              </w:rPr>
              <w:t>“A” 2 pines</w:t>
            </w:r>
          </w:p>
        </w:tc>
        <w:tc>
          <w:tcPr>
            <w:tcW w:w="706" w:type="dxa"/>
          </w:tcPr>
          <w:p w:rsidR="007A0A2C" w:rsidRDefault="00E4506B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1,305</w:t>
            </w:r>
          </w:p>
        </w:tc>
        <w:tc>
          <w:tcPr>
            <w:tcW w:w="1445" w:type="dxa"/>
          </w:tcPr>
          <w:p w:rsidR="007A0A2C" w:rsidRDefault="00CF6239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15B1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="00C51B35">
              <w:rPr>
                <w:sz w:val="16"/>
                <w:szCs w:val="16"/>
              </w:rPr>
              <w:t xml:space="preserve"> x </w:t>
            </w:r>
            <w:r w:rsidR="00715B15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  <w:r w:rsidR="00C51B35">
              <w:rPr>
                <w:sz w:val="16"/>
                <w:szCs w:val="16"/>
              </w:rPr>
              <w:t xml:space="preserve"> x </w:t>
            </w:r>
            <w:r w:rsidR="00715B15">
              <w:rPr>
                <w:sz w:val="16"/>
                <w:szCs w:val="16"/>
              </w:rPr>
              <w:t>130</w:t>
            </w:r>
          </w:p>
        </w:tc>
        <w:tc>
          <w:tcPr>
            <w:tcW w:w="1417" w:type="dxa"/>
          </w:tcPr>
          <w:p w:rsidR="007A0A2C" w:rsidRDefault="00E4506B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1,365</w:t>
            </w:r>
          </w:p>
        </w:tc>
        <w:tc>
          <w:tcPr>
            <w:tcW w:w="1296" w:type="dxa"/>
          </w:tcPr>
          <w:p w:rsidR="007A0A2C" w:rsidRDefault="00715423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4506B">
              <w:rPr>
                <w:sz w:val="16"/>
                <w:szCs w:val="16"/>
              </w:rPr>
              <w:t>40</w:t>
            </w:r>
            <w:r>
              <w:rPr>
                <w:sz w:val="16"/>
                <w:szCs w:val="16"/>
              </w:rPr>
              <w:t xml:space="preserve"> x </w:t>
            </w:r>
            <w:r w:rsidR="00E4506B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5 x </w:t>
            </w:r>
            <w:r w:rsidR="00E4506B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</w:p>
        </w:tc>
      </w:tr>
      <w:tr w:rsidR="007A0A2C" w:rsidTr="00165C9A">
        <w:trPr>
          <w:trHeight w:val="223"/>
        </w:trPr>
        <w:tc>
          <w:tcPr>
            <w:tcW w:w="910" w:type="dxa"/>
          </w:tcPr>
          <w:p w:rsidR="007A0A2C" w:rsidRDefault="00F40997" w:rsidP="001B6964">
            <w:pPr>
              <w:ind w:left="0" w:firstLine="0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PH-5000</w:t>
            </w:r>
          </w:p>
        </w:tc>
        <w:tc>
          <w:tcPr>
            <w:tcW w:w="973" w:type="dxa"/>
          </w:tcPr>
          <w:p w:rsidR="007A0A2C" w:rsidRPr="003D3D25" w:rsidRDefault="007A0A2C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127V/</w:t>
            </w:r>
            <w:r w:rsidRPr="003D3D25">
              <w:rPr>
                <w:sz w:val="16"/>
                <w:szCs w:val="16"/>
              </w:rPr>
              <w:t>60Hz</w:t>
            </w:r>
          </w:p>
        </w:tc>
        <w:tc>
          <w:tcPr>
            <w:tcW w:w="939" w:type="dxa"/>
          </w:tcPr>
          <w:p w:rsidR="007A0A2C" w:rsidRDefault="00F40997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1016" w:type="dxa"/>
          </w:tcPr>
          <w:p w:rsidR="007A0A2C" w:rsidRDefault="007A0A2C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IPX68</w:t>
            </w:r>
          </w:p>
        </w:tc>
        <w:tc>
          <w:tcPr>
            <w:tcW w:w="1102" w:type="dxa"/>
          </w:tcPr>
          <w:p w:rsidR="007A0A2C" w:rsidRDefault="00E34079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227E9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86" w:type="dxa"/>
          </w:tcPr>
          <w:p w:rsidR="007A0A2C" w:rsidRPr="003D3D25" w:rsidRDefault="002C0DE5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 w:rsidRPr="003D3D25">
              <w:rPr>
                <w:sz w:val="16"/>
                <w:szCs w:val="16"/>
              </w:rPr>
              <w:t>“A” 2 pines</w:t>
            </w:r>
          </w:p>
        </w:tc>
        <w:tc>
          <w:tcPr>
            <w:tcW w:w="706" w:type="dxa"/>
          </w:tcPr>
          <w:p w:rsidR="007A0A2C" w:rsidRDefault="00E34079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227E9">
              <w:rPr>
                <w:sz w:val="16"/>
                <w:szCs w:val="16"/>
              </w:rPr>
              <w:t>,</w:t>
            </w:r>
            <w:r w:rsidR="00FE7592">
              <w:rPr>
                <w:sz w:val="16"/>
                <w:szCs w:val="16"/>
              </w:rPr>
              <w:t>700</w:t>
            </w:r>
          </w:p>
        </w:tc>
        <w:tc>
          <w:tcPr>
            <w:tcW w:w="1445" w:type="dxa"/>
          </w:tcPr>
          <w:p w:rsidR="007A0A2C" w:rsidRDefault="00FE7592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 x 115 x 150</w:t>
            </w:r>
          </w:p>
        </w:tc>
        <w:tc>
          <w:tcPr>
            <w:tcW w:w="1417" w:type="dxa"/>
          </w:tcPr>
          <w:p w:rsidR="007A0A2C" w:rsidRDefault="006553EE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227E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95</w:t>
            </w:r>
            <w:r w:rsidR="00FE7592">
              <w:rPr>
                <w:sz w:val="16"/>
                <w:szCs w:val="16"/>
              </w:rPr>
              <w:t>0</w:t>
            </w:r>
          </w:p>
        </w:tc>
        <w:tc>
          <w:tcPr>
            <w:tcW w:w="1296" w:type="dxa"/>
          </w:tcPr>
          <w:p w:rsidR="007A0A2C" w:rsidRDefault="00FE7592" w:rsidP="001B6964">
            <w:pPr>
              <w:ind w:left="0" w:firstLine="0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x 140 x 130</w:t>
            </w:r>
          </w:p>
        </w:tc>
      </w:tr>
    </w:tbl>
    <w:p w:rsidR="00574759" w:rsidRDefault="00574759" w:rsidP="001B6964">
      <w:pPr>
        <w:ind w:left="0" w:firstLine="0"/>
        <w:contextualSpacing/>
        <w:rPr>
          <w:b/>
          <w:sz w:val="18"/>
          <w:szCs w:val="18"/>
        </w:rPr>
      </w:pPr>
    </w:p>
    <w:p w:rsidR="00BA368A" w:rsidRDefault="00BA368A" w:rsidP="001B6964">
      <w:pPr>
        <w:ind w:left="0" w:firstLine="0"/>
        <w:contextualSpacing/>
        <w:rPr>
          <w:b/>
          <w:sz w:val="18"/>
          <w:szCs w:val="18"/>
        </w:rPr>
      </w:pPr>
      <w:r w:rsidRPr="00D5379E">
        <w:rPr>
          <w:b/>
          <w:sz w:val="18"/>
          <w:szCs w:val="18"/>
        </w:rPr>
        <w:t>RENDIMIENTO:</w:t>
      </w:r>
    </w:p>
    <w:p w:rsidR="00BA368A" w:rsidRDefault="0044552E" w:rsidP="001B6964">
      <w:pPr>
        <w:ind w:left="0" w:firstLine="0"/>
        <w:contextualSpacing/>
        <w:rPr>
          <w:b/>
          <w:sz w:val="18"/>
          <w:szCs w:val="1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175312</wp:posOffset>
            </wp:positionV>
            <wp:extent cx="1852295" cy="93218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oda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559"/>
        <w:gridCol w:w="1242"/>
        <w:gridCol w:w="1016"/>
        <w:gridCol w:w="1144"/>
      </w:tblGrid>
      <w:tr w:rsidR="0044552E" w:rsidTr="0044552E">
        <w:tc>
          <w:tcPr>
            <w:tcW w:w="1129" w:type="dxa"/>
            <w:vAlign w:val="center"/>
          </w:tcPr>
          <w:p w:rsidR="0044552E" w:rsidRPr="0071489E" w:rsidRDefault="0044552E" w:rsidP="001B6964">
            <w:pPr>
              <w:ind w:left="0" w:firstLine="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Referencia:</w:t>
            </w:r>
          </w:p>
        </w:tc>
        <w:tc>
          <w:tcPr>
            <w:tcW w:w="1418" w:type="dxa"/>
            <w:vAlign w:val="center"/>
          </w:tcPr>
          <w:p w:rsidR="0044552E" w:rsidRPr="0071489E" w:rsidRDefault="0044552E" w:rsidP="001B6964">
            <w:pPr>
              <w:ind w:left="0" w:firstLine="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Acuarios entre</w:t>
            </w:r>
            <w:r w:rsidRPr="0071489E">
              <w:rPr>
                <w:b/>
                <w:sz w:val="18"/>
                <w:szCs w:val="18"/>
              </w:rPr>
              <w:t>: (L)</w:t>
            </w:r>
          </w:p>
        </w:tc>
        <w:tc>
          <w:tcPr>
            <w:tcW w:w="1559" w:type="dxa"/>
            <w:vAlign w:val="center"/>
          </w:tcPr>
          <w:p w:rsidR="0044552E" w:rsidRPr="0071489E" w:rsidRDefault="0044552E" w:rsidP="001B6964">
            <w:pPr>
              <w:ind w:left="0" w:firstLine="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Caudal aprox</w:t>
            </w:r>
            <w:r w:rsidRPr="0071489E">
              <w:rPr>
                <w:b/>
                <w:sz w:val="18"/>
                <w:szCs w:val="18"/>
              </w:rPr>
              <w:t>:</w:t>
            </w:r>
          </w:p>
          <w:p w:rsidR="0044552E" w:rsidRPr="0071489E" w:rsidRDefault="0044552E" w:rsidP="001B6964">
            <w:pPr>
              <w:ind w:left="0" w:firstLine="0"/>
              <w:contextualSpacing/>
              <w:jc w:val="center"/>
              <w:rPr>
                <w:b/>
                <w:sz w:val="18"/>
                <w:szCs w:val="18"/>
              </w:rPr>
            </w:pPr>
            <w:r w:rsidRPr="0071489E">
              <w:rPr>
                <w:b/>
                <w:sz w:val="18"/>
                <w:szCs w:val="18"/>
              </w:rPr>
              <w:t>(l/h)</w:t>
            </w:r>
          </w:p>
        </w:tc>
        <w:tc>
          <w:tcPr>
            <w:tcW w:w="1242" w:type="dxa"/>
            <w:vAlign w:val="center"/>
          </w:tcPr>
          <w:p w:rsidR="0044552E" w:rsidRDefault="00C45108" w:rsidP="001B6964">
            <w:pPr>
              <w:ind w:left="0" w:firstLine="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Diámetro de salida</w:t>
            </w:r>
            <w:r w:rsidR="0044552E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(mm.)</w:t>
            </w:r>
          </w:p>
        </w:tc>
        <w:tc>
          <w:tcPr>
            <w:tcW w:w="1016" w:type="dxa"/>
            <w:vAlign w:val="center"/>
          </w:tcPr>
          <w:p w:rsidR="0044552E" w:rsidRDefault="00FB12EC" w:rsidP="001B6964">
            <w:pPr>
              <w:ind w:left="0" w:firstLine="0"/>
              <w:contextualSpacing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Véntury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144" w:type="dxa"/>
          </w:tcPr>
          <w:p w:rsidR="0044552E" w:rsidRDefault="0044552E" w:rsidP="001B6964">
            <w:pPr>
              <w:ind w:left="0" w:firstLine="0"/>
              <w:contextualSpacing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Temp</w:t>
            </w:r>
            <w:proofErr w:type="spellEnd"/>
            <w:r>
              <w:rPr>
                <w:b/>
                <w:sz w:val="18"/>
                <w:szCs w:val="18"/>
              </w:rPr>
              <w:t>. Máx</w:t>
            </w:r>
          </w:p>
          <w:p w:rsidR="0044552E" w:rsidRDefault="0044552E" w:rsidP="001B6964">
            <w:pPr>
              <w:ind w:left="0" w:firstLine="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(°C):</w:t>
            </w:r>
          </w:p>
        </w:tc>
      </w:tr>
      <w:tr w:rsidR="00F40997" w:rsidRPr="0071489E" w:rsidTr="0044552E">
        <w:tc>
          <w:tcPr>
            <w:tcW w:w="1129" w:type="dxa"/>
          </w:tcPr>
          <w:p w:rsidR="00F40997" w:rsidRPr="0071489E" w:rsidRDefault="00F40997" w:rsidP="001B6964">
            <w:pPr>
              <w:ind w:left="0" w:firstLine="0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DYPH-200</w:t>
            </w:r>
          </w:p>
        </w:tc>
        <w:tc>
          <w:tcPr>
            <w:tcW w:w="1418" w:type="dxa"/>
            <w:vAlign w:val="center"/>
          </w:tcPr>
          <w:p w:rsidR="00F40997" w:rsidRPr="0071489E" w:rsidRDefault="00881252" w:rsidP="001B6964">
            <w:pPr>
              <w:ind w:left="0" w:firstLin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40997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1</w:t>
            </w:r>
            <w:r w:rsidR="00F4099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:rsidR="00F40997" w:rsidRPr="0071489E" w:rsidRDefault="00D01E71" w:rsidP="001B6964">
            <w:pPr>
              <w:ind w:left="0" w:firstLin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42" w:type="dxa"/>
            <w:vAlign w:val="center"/>
          </w:tcPr>
          <w:p w:rsidR="00F40997" w:rsidRPr="00B14438" w:rsidRDefault="00C45108" w:rsidP="001B6964">
            <w:pPr>
              <w:ind w:left="0" w:firstLin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9/12</w:t>
            </w:r>
          </w:p>
        </w:tc>
        <w:tc>
          <w:tcPr>
            <w:tcW w:w="1016" w:type="dxa"/>
          </w:tcPr>
          <w:p w:rsidR="00F40997" w:rsidRDefault="00FB12EC" w:rsidP="001B6964">
            <w:pPr>
              <w:ind w:left="0" w:firstLin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144" w:type="dxa"/>
          </w:tcPr>
          <w:p w:rsidR="00F40997" w:rsidRDefault="00F40997" w:rsidP="001B6964">
            <w:pPr>
              <w:ind w:left="0" w:firstLin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F40997" w:rsidRPr="0071489E" w:rsidTr="0044552E">
        <w:tc>
          <w:tcPr>
            <w:tcW w:w="1129" w:type="dxa"/>
          </w:tcPr>
          <w:p w:rsidR="00F40997" w:rsidRPr="0071489E" w:rsidRDefault="00F40997" w:rsidP="001B6964">
            <w:pPr>
              <w:ind w:left="0" w:firstLine="0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DYPH-1200</w:t>
            </w:r>
          </w:p>
        </w:tc>
        <w:tc>
          <w:tcPr>
            <w:tcW w:w="1418" w:type="dxa"/>
          </w:tcPr>
          <w:p w:rsidR="00F40997" w:rsidRPr="0071489E" w:rsidRDefault="00C45108" w:rsidP="001B6964">
            <w:pPr>
              <w:ind w:left="0" w:firstLine="0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10</w:t>
            </w:r>
            <w:r w:rsidR="00F40997">
              <w:rPr>
                <w:sz w:val="18"/>
                <w:szCs w:val="18"/>
              </w:rPr>
              <w:t xml:space="preserve">0 - </w:t>
            </w:r>
            <w:r>
              <w:rPr>
                <w:sz w:val="18"/>
                <w:szCs w:val="18"/>
              </w:rPr>
              <w:t>25</w:t>
            </w:r>
            <w:r w:rsidR="00F4099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:rsidR="00F40997" w:rsidRPr="0071489E" w:rsidRDefault="00881252" w:rsidP="001B6964">
            <w:pPr>
              <w:ind w:left="0" w:firstLin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40997">
              <w:rPr>
                <w:sz w:val="18"/>
                <w:szCs w:val="18"/>
              </w:rPr>
              <w:t>200</w:t>
            </w:r>
          </w:p>
        </w:tc>
        <w:tc>
          <w:tcPr>
            <w:tcW w:w="1242" w:type="dxa"/>
            <w:vAlign w:val="center"/>
          </w:tcPr>
          <w:p w:rsidR="00F40997" w:rsidRPr="00B14438" w:rsidRDefault="00C45108" w:rsidP="001B6964">
            <w:pPr>
              <w:ind w:left="0" w:firstLin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12/16</w:t>
            </w:r>
          </w:p>
        </w:tc>
        <w:tc>
          <w:tcPr>
            <w:tcW w:w="1016" w:type="dxa"/>
          </w:tcPr>
          <w:p w:rsidR="00F40997" w:rsidRDefault="00FB12EC" w:rsidP="001B6964">
            <w:pPr>
              <w:ind w:left="0" w:firstLin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144" w:type="dxa"/>
          </w:tcPr>
          <w:p w:rsidR="00F40997" w:rsidRDefault="00F40997" w:rsidP="001B6964">
            <w:pPr>
              <w:ind w:left="0" w:firstLin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F40997" w:rsidRPr="0071489E" w:rsidTr="0044552E">
        <w:tc>
          <w:tcPr>
            <w:tcW w:w="1129" w:type="dxa"/>
          </w:tcPr>
          <w:p w:rsidR="00F40997" w:rsidRDefault="00F40997" w:rsidP="001B6964">
            <w:pPr>
              <w:ind w:left="0" w:firstLine="0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DYPH-1800</w:t>
            </w:r>
          </w:p>
        </w:tc>
        <w:tc>
          <w:tcPr>
            <w:tcW w:w="1418" w:type="dxa"/>
          </w:tcPr>
          <w:p w:rsidR="00F40997" w:rsidRDefault="00C45108" w:rsidP="001B6964">
            <w:pPr>
              <w:ind w:left="0" w:firstLin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F40997">
              <w:rPr>
                <w:sz w:val="18"/>
                <w:szCs w:val="18"/>
              </w:rPr>
              <w:t xml:space="preserve">0 - </w:t>
            </w:r>
            <w:r>
              <w:rPr>
                <w:sz w:val="18"/>
                <w:szCs w:val="18"/>
              </w:rPr>
              <w:t>35</w:t>
            </w:r>
            <w:r w:rsidR="00F4099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:rsidR="00F40997" w:rsidRDefault="00881252" w:rsidP="001B6964">
            <w:pPr>
              <w:ind w:left="0" w:firstLin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tcW w:w="1242" w:type="dxa"/>
            <w:vAlign w:val="center"/>
          </w:tcPr>
          <w:p w:rsidR="00F40997" w:rsidRDefault="00C45108" w:rsidP="001B6964">
            <w:pPr>
              <w:ind w:left="0" w:firstLin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16/22</w:t>
            </w:r>
          </w:p>
        </w:tc>
        <w:tc>
          <w:tcPr>
            <w:tcW w:w="1016" w:type="dxa"/>
          </w:tcPr>
          <w:p w:rsidR="00F40997" w:rsidRDefault="00FB12EC" w:rsidP="001B6964">
            <w:pPr>
              <w:ind w:left="0" w:firstLin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144" w:type="dxa"/>
          </w:tcPr>
          <w:p w:rsidR="00F40997" w:rsidRDefault="00F40997" w:rsidP="001B6964">
            <w:pPr>
              <w:ind w:left="0" w:firstLin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F40997" w:rsidRPr="0071489E" w:rsidTr="0044552E">
        <w:tc>
          <w:tcPr>
            <w:tcW w:w="1129" w:type="dxa"/>
          </w:tcPr>
          <w:p w:rsidR="00F40997" w:rsidRDefault="00F40997" w:rsidP="001B6964">
            <w:pPr>
              <w:ind w:left="0" w:firstLine="0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DYPH-2500</w:t>
            </w:r>
          </w:p>
        </w:tc>
        <w:tc>
          <w:tcPr>
            <w:tcW w:w="1418" w:type="dxa"/>
          </w:tcPr>
          <w:p w:rsidR="00F40997" w:rsidRPr="0071489E" w:rsidRDefault="00C45108" w:rsidP="001B6964">
            <w:pPr>
              <w:ind w:left="0" w:firstLine="0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300 - 650</w:t>
            </w:r>
          </w:p>
        </w:tc>
        <w:tc>
          <w:tcPr>
            <w:tcW w:w="1559" w:type="dxa"/>
            <w:vAlign w:val="center"/>
          </w:tcPr>
          <w:p w:rsidR="00F40997" w:rsidRDefault="00F40997" w:rsidP="001B6964">
            <w:pPr>
              <w:ind w:left="0" w:firstLin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81252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42" w:type="dxa"/>
            <w:vAlign w:val="center"/>
          </w:tcPr>
          <w:p w:rsidR="00F40997" w:rsidRDefault="00C45108" w:rsidP="001B6964">
            <w:pPr>
              <w:ind w:left="0" w:firstLin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16/22</w:t>
            </w:r>
          </w:p>
        </w:tc>
        <w:tc>
          <w:tcPr>
            <w:tcW w:w="1016" w:type="dxa"/>
          </w:tcPr>
          <w:p w:rsidR="00F40997" w:rsidRDefault="00FD6AEB" w:rsidP="001B6964">
            <w:pPr>
              <w:ind w:left="0" w:firstLin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144" w:type="dxa"/>
          </w:tcPr>
          <w:p w:rsidR="00F40997" w:rsidRDefault="00F40997" w:rsidP="001B6964">
            <w:pPr>
              <w:ind w:left="0" w:firstLin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  <w:tr w:rsidR="00F40997" w:rsidRPr="0071489E" w:rsidTr="0044552E">
        <w:tc>
          <w:tcPr>
            <w:tcW w:w="1129" w:type="dxa"/>
          </w:tcPr>
          <w:p w:rsidR="00F40997" w:rsidRDefault="00F40997" w:rsidP="001B6964">
            <w:pPr>
              <w:ind w:left="0" w:firstLine="0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DYPH-5000</w:t>
            </w:r>
          </w:p>
        </w:tc>
        <w:tc>
          <w:tcPr>
            <w:tcW w:w="1418" w:type="dxa"/>
          </w:tcPr>
          <w:p w:rsidR="00F40997" w:rsidRDefault="00C45108" w:rsidP="001B6964">
            <w:pPr>
              <w:ind w:left="0" w:firstLin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F40997">
              <w:rPr>
                <w:sz w:val="18"/>
                <w:szCs w:val="18"/>
              </w:rPr>
              <w:t xml:space="preserve">0 - </w:t>
            </w:r>
            <w:r>
              <w:rPr>
                <w:sz w:val="18"/>
                <w:szCs w:val="18"/>
              </w:rPr>
              <w:t>65</w:t>
            </w:r>
            <w:r w:rsidR="00F40997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:rsidR="00F40997" w:rsidRDefault="00881252" w:rsidP="001B6964">
            <w:pPr>
              <w:ind w:left="0" w:firstLin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F40997">
              <w:rPr>
                <w:sz w:val="18"/>
                <w:szCs w:val="18"/>
              </w:rPr>
              <w:t>00</w:t>
            </w:r>
          </w:p>
        </w:tc>
        <w:tc>
          <w:tcPr>
            <w:tcW w:w="1242" w:type="dxa"/>
            <w:vAlign w:val="center"/>
          </w:tcPr>
          <w:p w:rsidR="00F40997" w:rsidRDefault="00C45108" w:rsidP="001B6964">
            <w:pPr>
              <w:ind w:left="0" w:firstLin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25/32</w:t>
            </w:r>
          </w:p>
        </w:tc>
        <w:tc>
          <w:tcPr>
            <w:tcW w:w="1016" w:type="dxa"/>
          </w:tcPr>
          <w:p w:rsidR="00F40997" w:rsidRDefault="00FB12EC" w:rsidP="001B6964">
            <w:pPr>
              <w:ind w:left="0" w:firstLin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144" w:type="dxa"/>
          </w:tcPr>
          <w:p w:rsidR="00F40997" w:rsidRDefault="00F40997" w:rsidP="001B6964">
            <w:pPr>
              <w:ind w:left="0" w:firstLine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</w:tr>
    </w:tbl>
    <w:p w:rsidR="00885939" w:rsidRDefault="00885939" w:rsidP="001B6964">
      <w:pPr>
        <w:spacing w:after="36" w:line="259" w:lineRule="auto"/>
        <w:ind w:left="0" w:right="0" w:firstLine="0"/>
        <w:contextualSpacing/>
        <w:jc w:val="left"/>
        <w:rPr>
          <w:b/>
          <w:sz w:val="18"/>
        </w:rPr>
      </w:pPr>
    </w:p>
    <w:p w:rsidR="00885939" w:rsidRDefault="00885939" w:rsidP="00017BE8">
      <w:pPr>
        <w:spacing w:after="36" w:line="259" w:lineRule="auto"/>
        <w:ind w:left="0" w:right="0" w:firstLine="0"/>
        <w:jc w:val="left"/>
        <w:rPr>
          <w:b/>
          <w:sz w:val="18"/>
        </w:rPr>
      </w:pPr>
    </w:p>
    <w:p w:rsidR="005A3D08" w:rsidRDefault="006F24B3" w:rsidP="00017BE8">
      <w:pPr>
        <w:spacing w:after="36" w:line="259" w:lineRule="auto"/>
        <w:ind w:left="0" w:right="0" w:firstLine="0"/>
        <w:contextualSpacing/>
        <w:jc w:val="left"/>
      </w:pPr>
      <w:r>
        <w:rPr>
          <w:b/>
          <w:sz w:val="18"/>
        </w:rPr>
        <w:t xml:space="preserve">GARANTÍA: </w:t>
      </w:r>
    </w:p>
    <w:p w:rsidR="005A3D08" w:rsidRDefault="006F24B3">
      <w:pPr>
        <w:spacing w:after="277"/>
        <w:ind w:left="346" w:right="3" w:firstLine="0"/>
        <w:contextualSpacing/>
      </w:pPr>
      <w:r>
        <w:t xml:space="preserve">INCLUSIONES: </w:t>
      </w:r>
    </w:p>
    <w:p w:rsidR="005A3D08" w:rsidRDefault="006F24B3">
      <w:pPr>
        <w:numPr>
          <w:ilvl w:val="0"/>
          <w:numId w:val="1"/>
        </w:numPr>
        <w:ind w:right="3" w:hanging="360"/>
        <w:contextualSpacing/>
      </w:pPr>
      <w:r>
        <w:t xml:space="preserve">Este producto </w:t>
      </w:r>
      <w:r w:rsidR="001B6964">
        <w:t>DYMAX</w:t>
      </w:r>
      <w:r>
        <w:t xml:space="preserve"> cuenta con un período de garantía de 90 días naturales contra cualquier falla de fabricación o desperfecto en alguno de sus componentes, atribuibles a su ensamble o proceso de fabricación.  </w:t>
      </w:r>
    </w:p>
    <w:p w:rsidR="005A3D08" w:rsidRDefault="006F24B3">
      <w:pPr>
        <w:numPr>
          <w:ilvl w:val="0"/>
          <w:numId w:val="1"/>
        </w:numPr>
        <w:ind w:right="3" w:hanging="360"/>
        <w:contextualSpacing/>
      </w:pPr>
      <w:r>
        <w:t xml:space="preserve">Este período comenzará a partir de la adquisición del producto, siendo validado únicamente por su correspondiente ticket de compra. Exija al establecimiento la entrega de su comprobante. </w:t>
      </w:r>
    </w:p>
    <w:p w:rsidR="005A3D08" w:rsidRDefault="006F24B3">
      <w:pPr>
        <w:numPr>
          <w:ilvl w:val="0"/>
          <w:numId w:val="1"/>
        </w:numPr>
        <w:ind w:right="3" w:hanging="360"/>
        <w:contextualSpacing/>
      </w:pPr>
      <w:r>
        <w:t xml:space="preserve">Si detecta cualquier desperfecto o daño causado por defectos de los materiales o sus procesos de fabricación, deberá reportarlos a su proveedor en un período no superior a 3 días del incidente, mediante una foto y mostrarlos de forma directa a su proveedor.  Las compensaciones aceptadas nunca superarán el valor comercial del aparato.  </w:t>
      </w:r>
    </w:p>
    <w:p w:rsidR="005A3D08" w:rsidRDefault="006F24B3">
      <w:pPr>
        <w:numPr>
          <w:ilvl w:val="0"/>
          <w:numId w:val="1"/>
        </w:numPr>
        <w:spacing w:after="150"/>
        <w:ind w:right="3" w:hanging="360"/>
        <w:contextualSpacing/>
      </w:pPr>
      <w:r>
        <w:lastRenderedPageBreak/>
        <w:t xml:space="preserve">La garantía relativa a componentes eléctricos estará sujeta a una previa revisión por parte del proveedor para poder descartar fallas por un mal uso o por variaciones de voltaje.  </w:t>
      </w:r>
    </w:p>
    <w:p w:rsidR="00C10DFB" w:rsidRDefault="00C10DFB">
      <w:pPr>
        <w:spacing w:after="275"/>
        <w:ind w:left="346" w:right="3" w:firstLine="0"/>
        <w:contextualSpacing/>
      </w:pPr>
    </w:p>
    <w:p w:rsidR="005A3D08" w:rsidRDefault="006F24B3">
      <w:pPr>
        <w:spacing w:after="275"/>
        <w:ind w:left="346" w:right="3" w:firstLine="0"/>
        <w:contextualSpacing/>
      </w:pPr>
      <w:r>
        <w:t xml:space="preserve">EXLUSIONES: </w:t>
      </w:r>
    </w:p>
    <w:p w:rsidR="00C10DFB" w:rsidRDefault="00C10DFB">
      <w:pPr>
        <w:spacing w:after="275"/>
        <w:ind w:left="346" w:right="3" w:firstLine="0"/>
        <w:contextualSpacing/>
      </w:pPr>
    </w:p>
    <w:p w:rsidR="005A3D08" w:rsidRDefault="006F24B3" w:rsidP="0068674D">
      <w:pPr>
        <w:numPr>
          <w:ilvl w:val="0"/>
          <w:numId w:val="1"/>
        </w:numPr>
        <w:ind w:left="703" w:right="6" w:hanging="357"/>
        <w:contextualSpacing/>
      </w:pPr>
      <w:r>
        <w:t xml:space="preserve">Daños causados por inevitables desastres naturales. </w:t>
      </w:r>
    </w:p>
    <w:p w:rsidR="005A3D08" w:rsidRDefault="006F24B3" w:rsidP="0068674D">
      <w:pPr>
        <w:numPr>
          <w:ilvl w:val="0"/>
          <w:numId w:val="1"/>
        </w:numPr>
        <w:ind w:left="703" w:right="6" w:hanging="357"/>
        <w:contextualSpacing/>
      </w:pPr>
      <w:r>
        <w:t xml:space="preserve">Cualquier daño causado por un uso, manipulación, instalación incorrecta o irresponsable de este producto.  </w:t>
      </w:r>
    </w:p>
    <w:p w:rsidR="005A3D08" w:rsidRDefault="006F24B3" w:rsidP="0068674D">
      <w:pPr>
        <w:numPr>
          <w:ilvl w:val="0"/>
          <w:numId w:val="1"/>
        </w:numPr>
        <w:ind w:left="703" w:right="6" w:hanging="357"/>
        <w:contextualSpacing/>
      </w:pPr>
      <w:r>
        <w:t xml:space="preserve">Ser utilizado para un fin distinto al que fue diseñado, o ser utilizarlo para emplearlo en otras atribuciones o líquidos ajenos a la acuariofilia.   </w:t>
      </w:r>
    </w:p>
    <w:p w:rsidR="005A3D08" w:rsidRDefault="006F24B3" w:rsidP="0068674D">
      <w:pPr>
        <w:numPr>
          <w:ilvl w:val="0"/>
          <w:numId w:val="1"/>
        </w:numPr>
        <w:ind w:left="703" w:right="6" w:hanging="357"/>
        <w:contextualSpacing/>
      </w:pPr>
      <w:r>
        <w:t xml:space="preserve">Ser usado en áreas exteriores, exponiendo el producto a las inclemencias de la intemperie.  </w:t>
      </w:r>
    </w:p>
    <w:p w:rsidR="005A3D08" w:rsidRDefault="006F24B3" w:rsidP="0068674D">
      <w:pPr>
        <w:numPr>
          <w:ilvl w:val="0"/>
          <w:numId w:val="1"/>
        </w:numPr>
        <w:ind w:left="703" w:right="6" w:hanging="357"/>
        <w:contextualSpacing/>
      </w:pPr>
      <w:r>
        <w:t xml:space="preserve">Daños causados durante el transporte y sus costos derivados del servicio de garantía, tanto los previos a su aprobación como los posteriores.  </w:t>
      </w:r>
    </w:p>
    <w:p w:rsidR="005A3D08" w:rsidRDefault="006F24B3" w:rsidP="0068674D">
      <w:pPr>
        <w:numPr>
          <w:ilvl w:val="0"/>
          <w:numId w:val="1"/>
        </w:numPr>
        <w:ind w:left="703" w:right="6" w:hanging="357"/>
        <w:contextualSpacing/>
      </w:pPr>
      <w:r>
        <w:t xml:space="preserve">Los daños producidos por la omisión o realización incorrecta de los procedimientos de instalación y mantenimiento descritos en su manual de instrucciones.  </w:t>
      </w:r>
    </w:p>
    <w:p w:rsidR="005A3D08" w:rsidRDefault="006F24B3" w:rsidP="0068674D">
      <w:pPr>
        <w:numPr>
          <w:ilvl w:val="0"/>
          <w:numId w:val="1"/>
        </w:numPr>
        <w:ind w:left="703" w:right="6" w:hanging="357"/>
        <w:contextualSpacing/>
      </w:pPr>
      <w:r>
        <w:t xml:space="preserve">La reparación de cualquier desperfecto o modificación realizada por cualquier persona no autorizada anulará de forma inmediata el período de garantía.  </w:t>
      </w:r>
    </w:p>
    <w:p w:rsidR="005A3D08" w:rsidRDefault="006F24B3" w:rsidP="0068674D">
      <w:pPr>
        <w:numPr>
          <w:ilvl w:val="0"/>
          <w:numId w:val="1"/>
        </w:numPr>
        <w:ind w:left="703" w:right="6" w:hanging="357"/>
        <w:contextualSpacing/>
      </w:pPr>
      <w:r>
        <w:t xml:space="preserve">Daños causados por conectarlo a una fuente de suministro eléctrico distinta a la descrita en su etiqueta y ficha técnica, así como aquellos daños que se produjeran por fallos en la calidad en dicho suministro. </w:t>
      </w:r>
    </w:p>
    <w:p w:rsidR="005A3D08" w:rsidRDefault="006F24B3" w:rsidP="0068674D">
      <w:pPr>
        <w:numPr>
          <w:ilvl w:val="0"/>
          <w:numId w:val="1"/>
        </w:numPr>
        <w:spacing w:after="137" w:line="264" w:lineRule="auto"/>
        <w:ind w:left="703" w:right="6" w:hanging="357"/>
        <w:contextualSpacing/>
      </w:pPr>
      <w:r>
        <w:rPr>
          <w:b/>
        </w:rPr>
        <w:t>Esta garantía</w:t>
      </w:r>
      <w:r w:rsidR="00F16127">
        <w:rPr>
          <w:b/>
        </w:rPr>
        <w:t xml:space="preserve"> </w:t>
      </w:r>
      <w:r>
        <w:rPr>
          <w:b/>
        </w:rPr>
        <w:t>no incluye</w:t>
      </w:r>
      <w:r w:rsidR="00F16127">
        <w:rPr>
          <w:b/>
        </w:rPr>
        <w:t xml:space="preserve"> </w:t>
      </w:r>
      <w:r>
        <w:rPr>
          <w:b/>
        </w:rPr>
        <w:t>en ni</w:t>
      </w:r>
      <w:r w:rsidR="00A01E61">
        <w:rPr>
          <w:b/>
        </w:rPr>
        <w:t>ngún caso</w:t>
      </w:r>
      <w:r w:rsidR="00F16127">
        <w:rPr>
          <w:b/>
        </w:rPr>
        <w:t xml:space="preserve"> el rotor </w:t>
      </w:r>
      <w:r w:rsidR="00A01E61">
        <w:rPr>
          <w:b/>
        </w:rPr>
        <w:t>de</w:t>
      </w:r>
      <w:r w:rsidR="00F16127">
        <w:rPr>
          <w:b/>
        </w:rPr>
        <w:t xml:space="preserve"> </w:t>
      </w:r>
      <w:r w:rsidR="00A01E61">
        <w:rPr>
          <w:b/>
        </w:rPr>
        <w:t>la</w:t>
      </w:r>
      <w:r w:rsidR="00F16127">
        <w:rPr>
          <w:b/>
        </w:rPr>
        <w:t xml:space="preserve"> </w:t>
      </w:r>
      <w:r w:rsidR="00A01E61">
        <w:rPr>
          <w:b/>
        </w:rPr>
        <w:t>bomba</w:t>
      </w:r>
      <w:r w:rsidR="00BB2F58">
        <w:rPr>
          <w:b/>
        </w:rPr>
        <w:t xml:space="preserve"> </w:t>
      </w:r>
      <w:r>
        <w:rPr>
          <w:b/>
        </w:rPr>
        <w:t>ya</w:t>
      </w:r>
      <w:r w:rsidR="00F16127">
        <w:rPr>
          <w:b/>
        </w:rPr>
        <w:t xml:space="preserve"> </w:t>
      </w:r>
      <w:r>
        <w:rPr>
          <w:b/>
        </w:rPr>
        <w:t>que</w:t>
      </w:r>
      <w:r w:rsidR="00F16127">
        <w:rPr>
          <w:b/>
        </w:rPr>
        <w:t xml:space="preserve"> </w:t>
      </w:r>
      <w:r w:rsidR="00FD12FA">
        <w:rPr>
          <w:b/>
        </w:rPr>
        <w:t>es</w:t>
      </w:r>
      <w:r>
        <w:rPr>
          <w:b/>
        </w:rPr>
        <w:t xml:space="preserve"> consi</w:t>
      </w:r>
      <w:r w:rsidR="00B92498">
        <w:rPr>
          <w:b/>
        </w:rPr>
        <w:t>derado</w:t>
      </w:r>
      <w:r w:rsidR="00F16127">
        <w:rPr>
          <w:b/>
        </w:rPr>
        <w:t xml:space="preserve"> </w:t>
      </w:r>
      <w:r w:rsidR="00FD12FA">
        <w:rPr>
          <w:b/>
        </w:rPr>
        <w:t>como elemento</w:t>
      </w:r>
      <w:r w:rsidR="001B4ED5">
        <w:rPr>
          <w:b/>
        </w:rPr>
        <w:t xml:space="preserve"> </w:t>
      </w:r>
      <w:r w:rsidR="00F16127">
        <w:rPr>
          <w:b/>
        </w:rPr>
        <w:t>consumible</w:t>
      </w:r>
      <w:r w:rsidR="00FD12FA">
        <w:rPr>
          <w:b/>
        </w:rPr>
        <w:t>.</w:t>
      </w:r>
      <w:r w:rsidR="00F16127">
        <w:rPr>
          <w:b/>
        </w:rPr>
        <w:t xml:space="preserve"> </w:t>
      </w:r>
      <w:r>
        <w:rPr>
          <w:b/>
        </w:rPr>
        <w:t xml:space="preserve">(Es recomendable su comprobación en el momento de la compra).  </w:t>
      </w:r>
    </w:p>
    <w:p w:rsidR="00692663" w:rsidRDefault="00692663" w:rsidP="003F0FF7">
      <w:pPr>
        <w:spacing w:after="137" w:line="264" w:lineRule="auto"/>
        <w:ind w:left="703" w:right="6" w:firstLine="0"/>
        <w:contextualSpacing/>
      </w:pPr>
    </w:p>
    <w:p w:rsidR="00C10DFB" w:rsidRDefault="00C10DFB" w:rsidP="00E44EC2">
      <w:pPr>
        <w:spacing w:after="0" w:line="259" w:lineRule="auto"/>
        <w:ind w:left="-5" w:right="8" w:hanging="10"/>
        <w:contextualSpacing/>
        <w:jc w:val="left"/>
        <w:rPr>
          <w:b/>
          <w:sz w:val="24"/>
        </w:rPr>
      </w:pPr>
    </w:p>
    <w:p w:rsidR="00C10DFB" w:rsidRDefault="00C10DFB" w:rsidP="00E44EC2">
      <w:pPr>
        <w:spacing w:after="0" w:line="259" w:lineRule="auto"/>
        <w:ind w:left="-5" w:right="8" w:hanging="10"/>
        <w:contextualSpacing/>
        <w:jc w:val="left"/>
        <w:rPr>
          <w:b/>
          <w:noProof/>
          <w:lang w:val="es-MX" w:eastAsia="es-MX"/>
        </w:rPr>
      </w:pPr>
    </w:p>
    <w:p w:rsidR="00A256FD" w:rsidRDefault="00130686" w:rsidP="00E44EC2">
      <w:pPr>
        <w:spacing w:after="0" w:line="259" w:lineRule="auto"/>
        <w:ind w:left="-5" w:right="8" w:hanging="10"/>
        <w:contextualSpacing/>
        <w:jc w:val="left"/>
      </w:pPr>
      <w:r>
        <w:rPr>
          <w:b/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181610</wp:posOffset>
            </wp:positionV>
            <wp:extent cx="2562860" cy="1532255"/>
            <wp:effectExtent l="0" t="0" r="889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urvas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27" t="2670" r="9747" b="51786"/>
                    <a:stretch/>
                  </pic:blipFill>
                  <pic:spPr bwMode="auto">
                    <a:xfrm>
                      <a:off x="0" y="0"/>
                      <a:ext cx="2562860" cy="1532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4B3">
        <w:rPr>
          <w:b/>
          <w:sz w:val="24"/>
        </w:rPr>
        <w:t xml:space="preserve">Manual de instrucciones: </w:t>
      </w:r>
    </w:p>
    <w:p w:rsidR="00A256FD" w:rsidRPr="00A256FD" w:rsidRDefault="00A256FD" w:rsidP="00A256FD">
      <w:pPr>
        <w:ind w:left="0" w:right="3" w:firstLine="0"/>
        <w:contextualSpacing/>
        <w:rPr>
          <w:b/>
        </w:rPr>
      </w:pPr>
      <w:r w:rsidRPr="00A256FD">
        <w:rPr>
          <w:b/>
        </w:rPr>
        <w:t>Introducción:</w:t>
      </w:r>
    </w:p>
    <w:p w:rsidR="00692663" w:rsidRPr="00D9376E" w:rsidRDefault="00A256FD" w:rsidP="00B41F2F">
      <w:pPr>
        <w:ind w:left="0" w:right="3" w:firstLine="0"/>
        <w:contextualSpacing/>
      </w:pPr>
      <w:r>
        <w:t>Gracias por comprar un</w:t>
      </w:r>
      <w:r w:rsidR="00C822B4">
        <w:t>a</w:t>
      </w:r>
      <w:r w:rsidR="003345B6">
        <w:t xml:space="preserve"> </w:t>
      </w:r>
      <w:r w:rsidR="00874464">
        <w:t>bomba compacta</w:t>
      </w:r>
      <w:r w:rsidR="00D9376E">
        <w:t xml:space="preserve"> </w:t>
      </w:r>
      <w:r w:rsidR="00C10DFB">
        <w:t>DYMAX</w:t>
      </w:r>
      <w:r w:rsidR="00D9376E">
        <w:t xml:space="preserve"> de la serie </w:t>
      </w:r>
      <w:r w:rsidR="00C10DFB">
        <w:t>PH</w:t>
      </w:r>
      <w:r w:rsidR="00692663">
        <w:t xml:space="preserve">. </w:t>
      </w:r>
      <w:r>
        <w:t>Para asegurarse de que este producto es usado en su máx</w:t>
      </w:r>
      <w:r w:rsidR="002B77CC">
        <w:t>imo rendimiento de forma segura y</w:t>
      </w:r>
      <w:r>
        <w:t xml:space="preserve"> efectiva</w:t>
      </w:r>
      <w:r w:rsidR="002B77CC">
        <w:t xml:space="preserve"> evitando</w:t>
      </w:r>
      <w:r>
        <w:t xml:space="preserve"> </w:t>
      </w:r>
      <w:r w:rsidR="002B77CC">
        <w:t xml:space="preserve">además </w:t>
      </w:r>
      <w:r>
        <w:t>posibles fallos o accidentes, lea cuidadosamente este manual de instrucciones a</w:t>
      </w:r>
      <w:r w:rsidR="000E1AA9">
        <w:t xml:space="preserve">ntes de usar este dispositivo. </w:t>
      </w:r>
      <w:r>
        <w:t>Así mismo, atienda rigurosamente las instrucciones de seguridad descritas en este manual.  Guarde este documento para futuras consultas.</w:t>
      </w:r>
      <w:r w:rsidR="000E1AA9">
        <w:t xml:space="preserve"> </w:t>
      </w:r>
    </w:p>
    <w:p w:rsidR="00B41F2F" w:rsidRPr="00B41F2F" w:rsidRDefault="00B41F2F" w:rsidP="00B41F2F">
      <w:pPr>
        <w:ind w:left="0" w:right="3" w:firstLine="0"/>
        <w:contextualSpacing/>
        <w:rPr>
          <w:b/>
        </w:rPr>
      </w:pPr>
      <w:r w:rsidRPr="00B41F2F">
        <w:rPr>
          <w:b/>
        </w:rPr>
        <w:t>Características:</w:t>
      </w:r>
    </w:p>
    <w:p w:rsidR="00B41F2F" w:rsidRDefault="00B41F2F" w:rsidP="00B41F2F">
      <w:pPr>
        <w:pStyle w:val="Prrafodelista"/>
        <w:numPr>
          <w:ilvl w:val="0"/>
          <w:numId w:val="19"/>
        </w:numPr>
        <w:spacing w:after="160" w:line="259" w:lineRule="auto"/>
        <w:ind w:right="0"/>
      </w:pPr>
      <w:r>
        <w:t>Carcasa de plá</w:t>
      </w:r>
      <w:r w:rsidR="002B77CC">
        <w:t>stico</w:t>
      </w:r>
      <w:r w:rsidR="007A6A45">
        <w:t xml:space="preserve"> ABS</w:t>
      </w:r>
      <w:r w:rsidR="000E1AA9">
        <w:t xml:space="preserve"> industrial.</w:t>
      </w:r>
      <w:r w:rsidR="00C10DFB">
        <w:t xml:space="preserve"> </w:t>
      </w:r>
      <w:r w:rsidR="002B77CC">
        <w:t>Aspecto robusto</w:t>
      </w:r>
      <w:r>
        <w:t xml:space="preserve"> y apariencia elegante.</w:t>
      </w:r>
    </w:p>
    <w:p w:rsidR="00B41F2F" w:rsidRDefault="00407810" w:rsidP="00B41F2F">
      <w:pPr>
        <w:pStyle w:val="Prrafodelista"/>
        <w:numPr>
          <w:ilvl w:val="0"/>
          <w:numId w:val="19"/>
        </w:numPr>
        <w:spacing w:after="160" w:line="259" w:lineRule="auto"/>
        <w:ind w:right="0"/>
      </w:pPr>
      <w:r>
        <w:t>Potente motor eléctrico con rotor de acero inoxidable.</w:t>
      </w:r>
    </w:p>
    <w:p w:rsidR="00C822B4" w:rsidRDefault="00C822B4" w:rsidP="00130686">
      <w:pPr>
        <w:pStyle w:val="Prrafodelista"/>
        <w:numPr>
          <w:ilvl w:val="0"/>
          <w:numId w:val="19"/>
        </w:numPr>
        <w:spacing w:after="160" w:line="259" w:lineRule="auto"/>
        <w:ind w:right="0"/>
      </w:pPr>
      <w:r>
        <w:t>Pre-filtro</w:t>
      </w:r>
      <w:r w:rsidR="00B41F2F">
        <w:t xml:space="preserve"> </w:t>
      </w:r>
      <w:r>
        <w:t>mecánico</w:t>
      </w:r>
      <w:r w:rsidR="0084332B">
        <w:t xml:space="preserve"> de coladero</w:t>
      </w:r>
      <w:r w:rsidR="00130686">
        <w:t xml:space="preserve"> y</w:t>
      </w:r>
      <w:r>
        <w:t xml:space="preserve"> </w:t>
      </w:r>
      <w:r w:rsidR="00130686">
        <w:t>mando para una fácil regulación del caudal.</w:t>
      </w:r>
    </w:p>
    <w:p w:rsidR="00B41F2F" w:rsidRDefault="00A91194" w:rsidP="00B41F2F">
      <w:pPr>
        <w:pStyle w:val="Prrafodelista"/>
        <w:numPr>
          <w:ilvl w:val="0"/>
          <w:numId w:val="19"/>
        </w:numPr>
        <w:spacing w:after="160" w:line="259" w:lineRule="auto"/>
        <w:ind w:right="0"/>
      </w:pPr>
      <w:r>
        <w:t xml:space="preserve">Todos los componentes </w:t>
      </w:r>
      <w:r w:rsidR="00B41F2F">
        <w:t xml:space="preserve">eléctricos están altamente aislados, protegidos de la humedad y sellados con resina epoxy. </w:t>
      </w:r>
    </w:p>
    <w:p w:rsidR="00407810" w:rsidRDefault="00407810" w:rsidP="00B41F2F">
      <w:pPr>
        <w:pStyle w:val="Prrafodelista"/>
        <w:numPr>
          <w:ilvl w:val="0"/>
          <w:numId w:val="19"/>
        </w:numPr>
        <w:spacing w:after="160" w:line="259" w:lineRule="auto"/>
        <w:ind w:right="0"/>
      </w:pPr>
      <w:r>
        <w:t>Conjunto compacto y robusto.</w:t>
      </w:r>
    </w:p>
    <w:p w:rsidR="00F774A5" w:rsidRPr="00E44EC2" w:rsidRDefault="00336BCD" w:rsidP="00E44EC2">
      <w:pPr>
        <w:pStyle w:val="Prrafodelista"/>
        <w:numPr>
          <w:ilvl w:val="0"/>
          <w:numId w:val="19"/>
        </w:numPr>
        <w:spacing w:after="160" w:line="259" w:lineRule="auto"/>
        <w:ind w:right="0"/>
      </w:pPr>
      <w:r>
        <w:t>Utilización multi-propósito en agua dulce y salada con capa</w:t>
      </w:r>
      <w:r w:rsidR="00C822B4">
        <w:t>cidad para un uso continuo.</w:t>
      </w:r>
    </w:p>
    <w:p w:rsidR="00A01E61" w:rsidRDefault="00246325" w:rsidP="00692663">
      <w:pPr>
        <w:spacing w:after="240" w:line="259" w:lineRule="auto"/>
        <w:ind w:left="0" w:right="8" w:firstLine="0"/>
        <w:contextualSpacing/>
        <w:jc w:val="left"/>
      </w:pPr>
      <w:r>
        <w:rPr>
          <w:b/>
          <w:sz w:val="24"/>
        </w:rPr>
        <w:t>Atención:</w:t>
      </w:r>
    </w:p>
    <w:p w:rsidR="00B41F2F" w:rsidRDefault="00B41F2F" w:rsidP="00B41F2F">
      <w:pPr>
        <w:pStyle w:val="Prrafodelista"/>
        <w:numPr>
          <w:ilvl w:val="0"/>
          <w:numId w:val="18"/>
        </w:numPr>
        <w:spacing w:after="160" w:line="259" w:lineRule="auto"/>
        <w:ind w:right="0"/>
      </w:pPr>
      <w:r>
        <w:t>Verifique que las especificaciones eléctricas sobre voltaje y frecuencia sean las mismas que las de la etiqueta del producto.</w:t>
      </w:r>
    </w:p>
    <w:p w:rsidR="00B41F2F" w:rsidRDefault="00B41F2F" w:rsidP="00B41F2F">
      <w:pPr>
        <w:pStyle w:val="Prrafodelista"/>
        <w:numPr>
          <w:ilvl w:val="0"/>
          <w:numId w:val="18"/>
        </w:numPr>
        <w:spacing w:after="160" w:line="259" w:lineRule="auto"/>
        <w:ind w:right="0"/>
      </w:pPr>
      <w:r>
        <w:t>Es necesario realizar un bucle en el cable de alimentación del dispositivo con el fin de evitar posibles derivaciones de gotas agua procedentes del acuario que puedan salir del acuario a través del cable</w:t>
      </w:r>
      <w:r w:rsidR="00F7087E">
        <w:t xml:space="preserve"> por capilaridad</w:t>
      </w:r>
      <w:r>
        <w:t>.</w:t>
      </w:r>
    </w:p>
    <w:p w:rsidR="00B41F2F" w:rsidRDefault="00B41F2F" w:rsidP="00B41F2F">
      <w:pPr>
        <w:pStyle w:val="Prrafodelista"/>
        <w:numPr>
          <w:ilvl w:val="0"/>
          <w:numId w:val="18"/>
        </w:numPr>
        <w:spacing w:after="160" w:line="259" w:lineRule="auto"/>
        <w:ind w:right="0"/>
      </w:pPr>
      <w:r>
        <w:t>Por su seguridad, debe instalar un termo fusible automático en su red de suministro eléctrico para prevenir excesos</w:t>
      </w:r>
      <w:r w:rsidR="0021086E">
        <w:t xml:space="preserve"> de voltaje o corto-circuitos. </w:t>
      </w:r>
      <w:r>
        <w:t>La corriente res</w:t>
      </w:r>
      <w:r w:rsidR="00E44EC2">
        <w:t>idual no debe exceder los 30Ma.</w:t>
      </w:r>
      <w:r>
        <w:t xml:space="preserve"> Revise su sistema de seguridad eléctrica (RCD) regularmente.</w:t>
      </w:r>
    </w:p>
    <w:p w:rsidR="00B41F2F" w:rsidRDefault="00B41F2F" w:rsidP="00B41F2F">
      <w:pPr>
        <w:pStyle w:val="Prrafodelista"/>
        <w:numPr>
          <w:ilvl w:val="0"/>
          <w:numId w:val="18"/>
        </w:numPr>
        <w:spacing w:after="160" w:line="259" w:lineRule="auto"/>
        <w:ind w:right="0"/>
      </w:pPr>
      <w:r>
        <w:t xml:space="preserve">Asegúrese de que el nivel del agua se encuentra </w:t>
      </w:r>
      <w:r w:rsidR="0021086E">
        <w:t>por encima</w:t>
      </w:r>
      <w:r>
        <w:t xml:space="preserve"> cuerpo de la bomba de agua.  Si el nivel de agua es insuficiente corte inmediatamente el suministro eléctrico.</w:t>
      </w:r>
    </w:p>
    <w:p w:rsidR="00B41F2F" w:rsidRDefault="00E37A25" w:rsidP="00B41F2F">
      <w:pPr>
        <w:pStyle w:val="Prrafodelista"/>
        <w:numPr>
          <w:ilvl w:val="0"/>
          <w:numId w:val="18"/>
        </w:numPr>
        <w:spacing w:after="160" w:line="259" w:lineRule="auto"/>
        <w:ind w:right="0"/>
      </w:pPr>
      <w:r>
        <w:t xml:space="preserve">La bomba </w:t>
      </w:r>
      <w:r w:rsidR="00B41F2F">
        <w:t>no debe trabajar en agua con partículas sólidas.  Estas condiciones podrían desembocar en rotura mecánica de sus partes móviles o un desgaste prematuro del aparato, afectando a su vida útil.</w:t>
      </w:r>
    </w:p>
    <w:p w:rsidR="00B41F2F" w:rsidRDefault="00C10DFB" w:rsidP="00B41F2F">
      <w:pPr>
        <w:pStyle w:val="Prrafodelista"/>
        <w:numPr>
          <w:ilvl w:val="0"/>
          <w:numId w:val="18"/>
        </w:numPr>
        <w:spacing w:after="160" w:line="259" w:lineRule="auto"/>
        <w:ind w:right="0"/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5478145</wp:posOffset>
            </wp:positionH>
            <wp:positionV relativeFrom="paragraph">
              <wp:posOffset>6835</wp:posOffset>
            </wp:positionV>
            <wp:extent cx="1558925" cy="2042795"/>
            <wp:effectExtent l="0" t="0" r="3175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rrecto-incorrecto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82" r="12401"/>
                    <a:stretch/>
                  </pic:blipFill>
                  <pic:spPr bwMode="auto">
                    <a:xfrm>
                      <a:off x="0" y="0"/>
                      <a:ext cx="1558925" cy="2042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F2F">
        <w:t>Este dispositivo no debe usarse para bombear fluidos inflamables o agua con u</w:t>
      </w:r>
      <w:r w:rsidR="00130686">
        <w:t>na temperatura superior a los 40</w:t>
      </w:r>
      <w:r w:rsidR="00B41F2F">
        <w:t xml:space="preserve">°C </w:t>
      </w:r>
    </w:p>
    <w:p w:rsidR="00B41F2F" w:rsidRDefault="00B41F2F" w:rsidP="00B41F2F">
      <w:pPr>
        <w:pStyle w:val="Prrafodelista"/>
        <w:numPr>
          <w:ilvl w:val="0"/>
          <w:numId w:val="18"/>
        </w:numPr>
        <w:spacing w:after="160" w:line="259" w:lineRule="auto"/>
        <w:ind w:right="0"/>
      </w:pPr>
      <w:r>
        <w:t>Antes de manipular o realizar labores de mantenimiento en este aparato debe desenchufarlo del suministro eléctrico.</w:t>
      </w:r>
    </w:p>
    <w:p w:rsidR="00B41F2F" w:rsidRDefault="00B41F2F" w:rsidP="00B41F2F">
      <w:pPr>
        <w:pStyle w:val="Prrafodelista"/>
        <w:numPr>
          <w:ilvl w:val="0"/>
          <w:numId w:val="18"/>
        </w:numPr>
        <w:spacing w:after="160" w:line="259" w:lineRule="auto"/>
        <w:ind w:right="0"/>
      </w:pPr>
      <w:r>
        <w:t>No jale del cable con la mano para desenchufarlo. No sostenga el aparato colgando a través del cable.</w:t>
      </w:r>
    </w:p>
    <w:p w:rsidR="00B41F2F" w:rsidRDefault="00B41F2F" w:rsidP="00B41F2F">
      <w:pPr>
        <w:pStyle w:val="Prrafodelista"/>
        <w:numPr>
          <w:ilvl w:val="0"/>
          <w:numId w:val="18"/>
        </w:numPr>
        <w:spacing w:after="160" w:line="259" w:lineRule="auto"/>
        <w:ind w:right="0"/>
      </w:pPr>
      <w:r>
        <w:t>Cuando el aparato se encuentre fuera de servicio o presente alguna fuga eléctrica debe ser desconectado inmediatamente hasta que el problema se resuelva.</w:t>
      </w:r>
    </w:p>
    <w:p w:rsidR="00B41F2F" w:rsidRDefault="00B41F2F" w:rsidP="00B41F2F">
      <w:pPr>
        <w:pStyle w:val="Prrafodelista"/>
        <w:numPr>
          <w:ilvl w:val="0"/>
          <w:numId w:val="18"/>
        </w:numPr>
        <w:spacing w:after="160" w:line="259" w:lineRule="auto"/>
        <w:ind w:right="0"/>
      </w:pPr>
      <w:r>
        <w:t xml:space="preserve"> Cualquier problema eléctrico relevante debe</w:t>
      </w:r>
      <w:r w:rsidR="00366D2F">
        <w:t>rá ser realizado por personal c</w:t>
      </w:r>
      <w:r>
        <w:t>alificado.</w:t>
      </w:r>
    </w:p>
    <w:p w:rsidR="00B41F2F" w:rsidRDefault="00B41F2F" w:rsidP="00B41F2F">
      <w:pPr>
        <w:pStyle w:val="Prrafodelista"/>
        <w:numPr>
          <w:ilvl w:val="0"/>
          <w:numId w:val="18"/>
        </w:numPr>
        <w:spacing w:after="160" w:line="259" w:lineRule="auto"/>
        <w:ind w:right="0"/>
      </w:pPr>
      <w:r>
        <w:t>El cable eléctrico es irremplazable.  Si el cable sufre cualquier daño no puede repararse y el aparato deberá ser descartado.</w:t>
      </w:r>
    </w:p>
    <w:p w:rsidR="00B41F2F" w:rsidRDefault="00B41F2F" w:rsidP="00B41F2F">
      <w:pPr>
        <w:pStyle w:val="Prrafodelista"/>
        <w:numPr>
          <w:ilvl w:val="0"/>
          <w:numId w:val="18"/>
        </w:numPr>
        <w:spacing w:after="160" w:line="259" w:lineRule="auto"/>
        <w:ind w:right="0"/>
      </w:pPr>
      <w:r>
        <w:t xml:space="preserve">Debe ser instalado en un área fuera del alcance de los niños.  Asegúrese que los niños no juegan con el producto.  </w:t>
      </w:r>
    </w:p>
    <w:p w:rsidR="00F774A5" w:rsidRPr="00F774A5" w:rsidRDefault="00B41F2F" w:rsidP="00F774A5">
      <w:pPr>
        <w:pStyle w:val="Prrafodelista"/>
        <w:numPr>
          <w:ilvl w:val="0"/>
          <w:numId w:val="18"/>
        </w:numPr>
        <w:spacing w:after="160" w:line="259" w:lineRule="auto"/>
        <w:ind w:right="0"/>
      </w:pPr>
      <w:r>
        <w:t xml:space="preserve">Este producto no está diseñado para ser usado </w:t>
      </w:r>
      <w:r w:rsidR="00F774A5">
        <w:t xml:space="preserve">por personas con una capacidad </w:t>
      </w:r>
      <w:r>
        <w:t>sensorial, física o mental reducidas (incluyendo niños), Tampoco por personas con una experiencia reducida.  En tal caso deberán ser supervisados por una persona responsable de su seguridad.</w:t>
      </w:r>
    </w:p>
    <w:p w:rsidR="00692663" w:rsidRPr="00692663" w:rsidRDefault="00130686" w:rsidP="00692663">
      <w:pPr>
        <w:spacing w:after="240" w:line="259" w:lineRule="auto"/>
        <w:ind w:right="8"/>
        <w:contextualSpacing/>
        <w:rPr>
          <w:b/>
          <w:sz w:val="24"/>
        </w:rPr>
      </w:pPr>
      <w:r>
        <w:rPr>
          <w:b/>
          <w:sz w:val="24"/>
        </w:rPr>
        <w:t>Instalación de la bomba</w:t>
      </w:r>
      <w:r w:rsidR="00692663" w:rsidRPr="00692663">
        <w:rPr>
          <w:b/>
          <w:sz w:val="24"/>
        </w:rPr>
        <w:t>:</w:t>
      </w:r>
    </w:p>
    <w:p w:rsidR="00692663" w:rsidRPr="00D7236A" w:rsidRDefault="00692663" w:rsidP="00692663">
      <w:pPr>
        <w:pStyle w:val="Prrafodelista"/>
        <w:numPr>
          <w:ilvl w:val="0"/>
          <w:numId w:val="20"/>
        </w:numPr>
        <w:spacing w:after="254"/>
        <w:ind w:right="3"/>
        <w:rPr>
          <w:sz w:val="18"/>
        </w:rPr>
      </w:pPr>
      <w:r w:rsidRPr="00D7236A">
        <w:rPr>
          <w:sz w:val="18"/>
        </w:rPr>
        <w:t>Verifique que las especificaciones eléctricas sobre voltaje y frecuencia sean las mismas que las de la etiqueta</w:t>
      </w:r>
      <w:r w:rsidR="00882CE7" w:rsidRPr="00D7236A">
        <w:rPr>
          <w:sz w:val="18"/>
        </w:rPr>
        <w:t xml:space="preserve"> del producto</w:t>
      </w:r>
      <w:r w:rsidRPr="00D7236A">
        <w:rPr>
          <w:sz w:val="18"/>
        </w:rPr>
        <w:t>.</w:t>
      </w:r>
    </w:p>
    <w:p w:rsidR="00692663" w:rsidRPr="00D7236A" w:rsidRDefault="00692663" w:rsidP="00692663">
      <w:pPr>
        <w:pStyle w:val="Prrafodelista"/>
        <w:numPr>
          <w:ilvl w:val="0"/>
          <w:numId w:val="20"/>
        </w:numPr>
        <w:spacing w:after="254"/>
        <w:ind w:right="3"/>
        <w:rPr>
          <w:sz w:val="18"/>
        </w:rPr>
      </w:pPr>
      <w:r w:rsidRPr="00D7236A">
        <w:rPr>
          <w:sz w:val="18"/>
        </w:rPr>
        <w:t>Es necesario hacer un bucle en el cable de alimentación con el fin de evitar posibles derivaciones de gotas agua que puedan salir del acuario a través de este</w:t>
      </w:r>
      <w:r w:rsidR="00A733D3" w:rsidRPr="00D7236A">
        <w:rPr>
          <w:sz w:val="18"/>
        </w:rPr>
        <w:t xml:space="preserve"> por capilaridad.</w:t>
      </w:r>
    </w:p>
    <w:p w:rsidR="00130686" w:rsidRPr="00D7236A" w:rsidRDefault="00692663" w:rsidP="00130686">
      <w:pPr>
        <w:pStyle w:val="Prrafodelista"/>
        <w:numPr>
          <w:ilvl w:val="0"/>
          <w:numId w:val="20"/>
        </w:numPr>
        <w:spacing w:after="254"/>
        <w:ind w:right="3"/>
        <w:rPr>
          <w:sz w:val="18"/>
        </w:rPr>
      </w:pPr>
      <w:r w:rsidRPr="00D7236A">
        <w:rPr>
          <w:sz w:val="18"/>
        </w:rPr>
        <w:t>Por su seguridad, debe instalar un termo fusible automático en su red de suministro eléctrico para prevenir excesos</w:t>
      </w:r>
      <w:r w:rsidR="00CF2461" w:rsidRPr="00D7236A">
        <w:rPr>
          <w:sz w:val="18"/>
        </w:rPr>
        <w:t xml:space="preserve"> de voltaje o corto-circuitos. </w:t>
      </w:r>
      <w:r w:rsidRPr="00D7236A">
        <w:rPr>
          <w:sz w:val="18"/>
        </w:rPr>
        <w:t>La corriente resi</w:t>
      </w:r>
      <w:r w:rsidR="006111FA" w:rsidRPr="00D7236A">
        <w:rPr>
          <w:sz w:val="18"/>
        </w:rPr>
        <w:t xml:space="preserve">dual no debe exceder los 30Ma. </w:t>
      </w:r>
      <w:r w:rsidRPr="00D7236A">
        <w:rPr>
          <w:sz w:val="18"/>
        </w:rPr>
        <w:t>Revise este sistema de seguridad eléctrica (RCD) regularmente.</w:t>
      </w:r>
      <w:r w:rsidR="00130686" w:rsidRPr="00D7236A">
        <w:rPr>
          <w:sz w:val="18"/>
        </w:rPr>
        <w:t xml:space="preserve"> </w:t>
      </w:r>
    </w:p>
    <w:p w:rsidR="00A733D3" w:rsidRPr="00D7236A" w:rsidRDefault="00130686" w:rsidP="00130686">
      <w:pPr>
        <w:pStyle w:val="Prrafodelista"/>
        <w:numPr>
          <w:ilvl w:val="0"/>
          <w:numId w:val="20"/>
        </w:numPr>
        <w:spacing w:after="254"/>
        <w:ind w:right="3"/>
        <w:rPr>
          <w:sz w:val="18"/>
        </w:rPr>
      </w:pPr>
      <w:r w:rsidRPr="00D7236A">
        <w:rPr>
          <w:sz w:val="18"/>
        </w:rPr>
        <w:t>Nunca opere la bomba fuera del agua por más de 3 minutos.  El motor podría dañarse irreversiblemente.</w:t>
      </w:r>
    </w:p>
    <w:p w:rsidR="00130686" w:rsidRPr="00D7236A" w:rsidRDefault="00DD5F6D" w:rsidP="006111FA">
      <w:pPr>
        <w:pStyle w:val="Prrafodelista"/>
        <w:numPr>
          <w:ilvl w:val="0"/>
          <w:numId w:val="20"/>
        </w:numPr>
        <w:spacing w:after="254"/>
        <w:ind w:right="3"/>
        <w:rPr>
          <w:sz w:val="18"/>
        </w:rPr>
      </w:pPr>
      <w:r w:rsidRPr="00D7236A">
        <w:rPr>
          <w:sz w:val="18"/>
        </w:rPr>
        <w:t xml:space="preserve">La </w:t>
      </w:r>
      <w:r w:rsidR="00130686" w:rsidRPr="00D7236A">
        <w:rPr>
          <w:sz w:val="18"/>
        </w:rPr>
        <w:t>pieza</w:t>
      </w:r>
      <w:r w:rsidRPr="00D7236A">
        <w:rPr>
          <w:sz w:val="18"/>
        </w:rPr>
        <w:t xml:space="preserve"> plástica </w:t>
      </w:r>
      <w:r w:rsidR="00130686" w:rsidRPr="00D7236A">
        <w:rPr>
          <w:sz w:val="18"/>
        </w:rPr>
        <w:t>que cubre el cuerpo de la bomba</w:t>
      </w:r>
      <w:r w:rsidRPr="00D7236A">
        <w:rPr>
          <w:sz w:val="18"/>
        </w:rPr>
        <w:t xml:space="preserve"> con</w:t>
      </w:r>
      <w:r w:rsidR="00130686" w:rsidRPr="00D7236A">
        <w:rPr>
          <w:sz w:val="18"/>
        </w:rPr>
        <w:t>tiene</w:t>
      </w:r>
      <w:r w:rsidRPr="00D7236A">
        <w:rPr>
          <w:sz w:val="18"/>
        </w:rPr>
        <w:t xml:space="preserve"> </w:t>
      </w:r>
      <w:r w:rsidR="00130686" w:rsidRPr="00D7236A">
        <w:rPr>
          <w:sz w:val="18"/>
        </w:rPr>
        <w:t>4</w:t>
      </w:r>
      <w:r w:rsidR="00E44EC2" w:rsidRPr="00D7236A">
        <w:rPr>
          <w:sz w:val="18"/>
        </w:rPr>
        <w:t xml:space="preserve"> </w:t>
      </w:r>
      <w:r w:rsidRPr="00D7236A">
        <w:rPr>
          <w:sz w:val="18"/>
        </w:rPr>
        <w:t xml:space="preserve">ventosas </w:t>
      </w:r>
      <w:r w:rsidR="00130686" w:rsidRPr="00D7236A">
        <w:rPr>
          <w:sz w:val="18"/>
        </w:rPr>
        <w:t>para fijarse a la pared de su acuario</w:t>
      </w:r>
      <w:r w:rsidRPr="00D7236A">
        <w:rPr>
          <w:sz w:val="18"/>
        </w:rPr>
        <w:t xml:space="preserve">.  </w:t>
      </w:r>
    </w:p>
    <w:p w:rsidR="00CF7652" w:rsidRPr="00D7236A" w:rsidRDefault="00DD5F6D" w:rsidP="00CF7652">
      <w:pPr>
        <w:pStyle w:val="Prrafodelista"/>
        <w:numPr>
          <w:ilvl w:val="0"/>
          <w:numId w:val="20"/>
        </w:numPr>
        <w:spacing w:after="254"/>
        <w:ind w:right="3"/>
        <w:rPr>
          <w:sz w:val="18"/>
        </w:rPr>
      </w:pPr>
      <w:r w:rsidRPr="00D7236A">
        <w:rPr>
          <w:sz w:val="18"/>
        </w:rPr>
        <w:t>Limpie el área de la cara interna del acuario donde va a ubicar la bomba y sitúela en su emplazamiento presionando sus ventosas contra dicha superficie.  Recuerde que puede ubicar la bomba de f</w:t>
      </w:r>
      <w:r w:rsidR="006111FA" w:rsidRPr="00D7236A">
        <w:rPr>
          <w:sz w:val="18"/>
        </w:rPr>
        <w:t>orma horizontal o vertical,</w:t>
      </w:r>
      <w:r w:rsidRPr="00D7236A">
        <w:rPr>
          <w:sz w:val="18"/>
        </w:rPr>
        <w:t xml:space="preserve"> siempre</w:t>
      </w:r>
      <w:r w:rsidR="006111FA" w:rsidRPr="00D7236A">
        <w:rPr>
          <w:sz w:val="18"/>
        </w:rPr>
        <w:t xml:space="preserve"> que esté totalmente su</w:t>
      </w:r>
      <w:r w:rsidRPr="00D7236A">
        <w:rPr>
          <w:sz w:val="18"/>
        </w:rPr>
        <w:t>mergida.</w:t>
      </w:r>
      <w:r w:rsidR="00CF7652" w:rsidRPr="00D7236A">
        <w:rPr>
          <w:sz w:val="18"/>
        </w:rPr>
        <w:t xml:space="preserve"> </w:t>
      </w:r>
    </w:p>
    <w:p w:rsidR="00692663" w:rsidRPr="00D7236A" w:rsidRDefault="00692663" w:rsidP="00692663">
      <w:pPr>
        <w:pStyle w:val="Prrafodelista"/>
        <w:numPr>
          <w:ilvl w:val="0"/>
          <w:numId w:val="20"/>
        </w:numPr>
        <w:spacing w:after="254"/>
        <w:ind w:right="3"/>
        <w:rPr>
          <w:sz w:val="18"/>
        </w:rPr>
      </w:pPr>
      <w:r w:rsidRPr="00D7236A">
        <w:rPr>
          <w:sz w:val="18"/>
        </w:rPr>
        <w:t>Verifique de nuevo que todo esté correctamente instalado antes d</w:t>
      </w:r>
      <w:r w:rsidR="00CF2461" w:rsidRPr="00D7236A">
        <w:rPr>
          <w:sz w:val="18"/>
        </w:rPr>
        <w:t>e la puesta en marcha de la bomba</w:t>
      </w:r>
      <w:r w:rsidRPr="00D7236A">
        <w:rPr>
          <w:sz w:val="18"/>
        </w:rPr>
        <w:t xml:space="preserve">.  Asegúrese de que el nivel </w:t>
      </w:r>
      <w:r w:rsidR="00CF7652" w:rsidRPr="00D7236A">
        <w:rPr>
          <w:sz w:val="18"/>
        </w:rPr>
        <w:t xml:space="preserve">del agua en el acuario cubre </w:t>
      </w:r>
      <w:r w:rsidRPr="00D7236A">
        <w:rPr>
          <w:sz w:val="18"/>
        </w:rPr>
        <w:t>el cuerpo de la bomba antes de conectarla a la toma de corriente.</w:t>
      </w:r>
    </w:p>
    <w:p w:rsidR="00462FD8" w:rsidRPr="00D7236A" w:rsidRDefault="00692663" w:rsidP="00CF7652">
      <w:pPr>
        <w:pStyle w:val="Prrafodelista"/>
        <w:numPr>
          <w:ilvl w:val="0"/>
          <w:numId w:val="20"/>
        </w:numPr>
        <w:spacing w:after="254"/>
        <w:ind w:right="3"/>
        <w:rPr>
          <w:sz w:val="18"/>
        </w:rPr>
      </w:pPr>
      <w:r w:rsidRPr="00D7236A">
        <w:rPr>
          <w:sz w:val="18"/>
        </w:rPr>
        <w:t xml:space="preserve">Cuando conecte </w:t>
      </w:r>
      <w:r w:rsidR="00882CE7" w:rsidRPr="00D7236A">
        <w:rPr>
          <w:sz w:val="18"/>
        </w:rPr>
        <w:t xml:space="preserve">la bomba </w:t>
      </w:r>
      <w:r w:rsidRPr="00D7236A">
        <w:rPr>
          <w:sz w:val="18"/>
        </w:rPr>
        <w:t xml:space="preserve">por primera vez, debe vigilar su funcionamiento al menos </w:t>
      </w:r>
      <w:r w:rsidR="00D7236A" w:rsidRPr="00D7236A">
        <w:rPr>
          <w:sz w:val="18"/>
        </w:rPr>
        <w:t>unos</w:t>
      </w:r>
      <w:r w:rsidRPr="00D7236A">
        <w:rPr>
          <w:sz w:val="18"/>
        </w:rPr>
        <w:t xml:space="preserve"> minutos, verificando que funciona de forma normal y estable, sin observar ruidos extrañ</w:t>
      </w:r>
      <w:r w:rsidR="00CF7652" w:rsidRPr="00D7236A">
        <w:rPr>
          <w:sz w:val="18"/>
        </w:rPr>
        <w:t>os o un funcionamiento anormal.</w:t>
      </w:r>
      <w:r w:rsidR="00462FD8" w:rsidRPr="00D7236A">
        <w:rPr>
          <w:noProof/>
          <w:sz w:val="18"/>
          <w:lang w:val="es-MX" w:eastAsia="es-MX"/>
        </w:rPr>
        <w:t xml:space="preserve">  </w:t>
      </w:r>
    </w:p>
    <w:p w:rsidR="00692663" w:rsidRPr="00D7236A" w:rsidRDefault="00692663" w:rsidP="00692663">
      <w:pPr>
        <w:pStyle w:val="Prrafodelista"/>
        <w:numPr>
          <w:ilvl w:val="0"/>
          <w:numId w:val="20"/>
        </w:numPr>
        <w:spacing w:after="254"/>
        <w:ind w:right="3"/>
        <w:rPr>
          <w:sz w:val="18"/>
        </w:rPr>
      </w:pPr>
      <w:r w:rsidRPr="00D7236A">
        <w:rPr>
          <w:sz w:val="18"/>
        </w:rPr>
        <w:t xml:space="preserve">Debe limpiar </w:t>
      </w:r>
      <w:r w:rsidR="006D4814" w:rsidRPr="00D7236A">
        <w:rPr>
          <w:sz w:val="18"/>
        </w:rPr>
        <w:t>el rotor y el pre-filtro</w:t>
      </w:r>
      <w:r w:rsidR="00CF7652" w:rsidRPr="00D7236A">
        <w:rPr>
          <w:sz w:val="18"/>
        </w:rPr>
        <w:t xml:space="preserve"> </w:t>
      </w:r>
      <w:r w:rsidR="007F0337" w:rsidRPr="00D7236A">
        <w:rPr>
          <w:sz w:val="18"/>
        </w:rPr>
        <w:t>regularmente.  Evit</w:t>
      </w:r>
      <w:r w:rsidRPr="00D7236A">
        <w:rPr>
          <w:sz w:val="18"/>
        </w:rPr>
        <w:t xml:space="preserve">e que se acumulen en ellos demasiadas partículas de suciedad para favorecer </w:t>
      </w:r>
      <w:r w:rsidR="00882CE7" w:rsidRPr="00D7236A">
        <w:rPr>
          <w:sz w:val="18"/>
        </w:rPr>
        <w:t>el</w:t>
      </w:r>
      <w:r w:rsidRPr="00D7236A">
        <w:rPr>
          <w:sz w:val="18"/>
        </w:rPr>
        <w:t xml:space="preserve"> fluj</w:t>
      </w:r>
      <w:r w:rsidR="006D4814" w:rsidRPr="00D7236A">
        <w:rPr>
          <w:sz w:val="18"/>
        </w:rPr>
        <w:t>o de agua y asegurar la durabilidad de la bomba</w:t>
      </w:r>
      <w:r w:rsidRPr="00D7236A">
        <w:rPr>
          <w:sz w:val="18"/>
        </w:rPr>
        <w:t>.</w:t>
      </w:r>
      <w:r w:rsidR="007F0337" w:rsidRPr="00D7236A">
        <w:rPr>
          <w:sz w:val="18"/>
        </w:rPr>
        <w:t xml:space="preserve"> </w:t>
      </w:r>
    </w:p>
    <w:p w:rsidR="00692663" w:rsidRPr="00D7236A" w:rsidRDefault="00692663" w:rsidP="00692663">
      <w:pPr>
        <w:pStyle w:val="Prrafodelista"/>
        <w:numPr>
          <w:ilvl w:val="0"/>
          <w:numId w:val="20"/>
        </w:numPr>
        <w:spacing w:after="254"/>
        <w:ind w:right="3"/>
        <w:rPr>
          <w:sz w:val="18"/>
        </w:rPr>
      </w:pPr>
      <w:r w:rsidRPr="00D7236A">
        <w:rPr>
          <w:sz w:val="18"/>
        </w:rPr>
        <w:t xml:space="preserve">A la hora de mover </w:t>
      </w:r>
      <w:r w:rsidR="006D4814" w:rsidRPr="00D7236A">
        <w:rPr>
          <w:sz w:val="18"/>
        </w:rPr>
        <w:t>la bomba</w:t>
      </w:r>
      <w:r w:rsidRPr="00D7236A">
        <w:rPr>
          <w:sz w:val="18"/>
        </w:rPr>
        <w:t xml:space="preserve"> o realizar cualquier labor de mantenimiento asegúrese de que </w:t>
      </w:r>
      <w:r w:rsidR="000B5B54" w:rsidRPr="00D7236A">
        <w:rPr>
          <w:sz w:val="18"/>
        </w:rPr>
        <w:t>está apagada</w:t>
      </w:r>
      <w:r w:rsidRPr="00D7236A">
        <w:rPr>
          <w:sz w:val="18"/>
        </w:rPr>
        <w:t xml:space="preserve"> y el cable está desenchufado de la toma de corriente.</w:t>
      </w:r>
    </w:p>
    <w:p w:rsidR="005017E8" w:rsidRPr="00D7236A" w:rsidRDefault="00692663" w:rsidP="00882CE7">
      <w:pPr>
        <w:pStyle w:val="Prrafodelista"/>
        <w:numPr>
          <w:ilvl w:val="0"/>
          <w:numId w:val="20"/>
        </w:numPr>
        <w:spacing w:after="254"/>
        <w:ind w:right="3"/>
        <w:rPr>
          <w:sz w:val="18"/>
        </w:rPr>
      </w:pPr>
      <w:r w:rsidRPr="00D7236A">
        <w:rPr>
          <w:sz w:val="18"/>
        </w:rPr>
        <w:t xml:space="preserve">Mantenga </w:t>
      </w:r>
      <w:r w:rsidR="006D4814" w:rsidRPr="00D7236A">
        <w:rPr>
          <w:sz w:val="18"/>
        </w:rPr>
        <w:t>la bomba</w:t>
      </w:r>
      <w:r w:rsidRPr="00D7236A">
        <w:rPr>
          <w:sz w:val="18"/>
        </w:rPr>
        <w:t xml:space="preserve"> fuera del agua cuando no vaya a usarla duran</w:t>
      </w:r>
      <w:r w:rsidR="006D4814" w:rsidRPr="00D7236A">
        <w:rPr>
          <w:sz w:val="18"/>
        </w:rPr>
        <w:t xml:space="preserve">te un largo periodo de tiempo. </w:t>
      </w:r>
      <w:r w:rsidRPr="00D7236A">
        <w:rPr>
          <w:sz w:val="18"/>
        </w:rPr>
        <w:t xml:space="preserve"> Límpiela y séquela para guardarla en un lugar seco para un uso futuro.</w:t>
      </w:r>
    </w:p>
    <w:p w:rsidR="00B43A54" w:rsidRPr="00F2364A" w:rsidRDefault="00F2364A" w:rsidP="007D2A25">
      <w:pPr>
        <w:spacing w:after="240" w:line="259" w:lineRule="auto"/>
        <w:ind w:right="8"/>
        <w:contextualSpacing/>
        <w:rPr>
          <w:b/>
          <w:sz w:val="24"/>
        </w:rPr>
      </w:pPr>
      <w:r w:rsidRPr="00F2364A">
        <w:rPr>
          <w:b/>
          <w:sz w:val="24"/>
        </w:rPr>
        <w:t>Mantenimiento:</w:t>
      </w:r>
    </w:p>
    <w:p w:rsidR="00F2364A" w:rsidRPr="00D7236A" w:rsidRDefault="00F2364A" w:rsidP="00F2364A">
      <w:pPr>
        <w:pStyle w:val="Prrafodelista"/>
        <w:numPr>
          <w:ilvl w:val="0"/>
          <w:numId w:val="21"/>
        </w:numPr>
        <w:spacing w:after="160" w:line="259" w:lineRule="auto"/>
        <w:ind w:right="0"/>
        <w:rPr>
          <w:sz w:val="18"/>
          <w:szCs w:val="18"/>
        </w:rPr>
      </w:pPr>
      <w:r w:rsidRPr="00D7236A">
        <w:rPr>
          <w:sz w:val="18"/>
          <w:szCs w:val="18"/>
        </w:rPr>
        <w:t>Si la bomba no arranca una vez enchufada a la toma de corriente, verifique el correcto contacto del enchufe o</w:t>
      </w:r>
      <w:r w:rsidR="009C2FB0">
        <w:rPr>
          <w:sz w:val="18"/>
          <w:szCs w:val="18"/>
        </w:rPr>
        <w:t xml:space="preserve"> que no</w:t>
      </w:r>
      <w:bookmarkStart w:id="0" w:name="_GoBack"/>
      <w:bookmarkEnd w:id="0"/>
      <w:r w:rsidRPr="00D7236A">
        <w:rPr>
          <w:sz w:val="18"/>
          <w:szCs w:val="18"/>
        </w:rPr>
        <w:t xml:space="preserve"> se encuentr</w:t>
      </w:r>
      <w:r w:rsidR="009C2FB0">
        <w:rPr>
          <w:sz w:val="18"/>
          <w:szCs w:val="18"/>
        </w:rPr>
        <w:t>e</w:t>
      </w:r>
      <w:r w:rsidRPr="00D7236A">
        <w:rPr>
          <w:sz w:val="18"/>
          <w:szCs w:val="18"/>
        </w:rPr>
        <w:t xml:space="preserve"> dañado</w:t>
      </w:r>
      <w:r w:rsidR="006D4814" w:rsidRPr="00D7236A">
        <w:rPr>
          <w:sz w:val="18"/>
          <w:szCs w:val="18"/>
        </w:rPr>
        <w:t>.  Vigile que el nivel del agua no sea</w:t>
      </w:r>
      <w:r w:rsidRPr="00D7236A">
        <w:rPr>
          <w:sz w:val="18"/>
          <w:szCs w:val="18"/>
        </w:rPr>
        <w:t xml:space="preserve"> insuficiente</w:t>
      </w:r>
      <w:r w:rsidR="00882CE7" w:rsidRPr="00D7236A">
        <w:rPr>
          <w:sz w:val="18"/>
          <w:szCs w:val="18"/>
        </w:rPr>
        <w:t xml:space="preserve">. </w:t>
      </w:r>
      <w:r w:rsidRPr="00D7236A">
        <w:rPr>
          <w:sz w:val="18"/>
          <w:szCs w:val="18"/>
        </w:rPr>
        <w:t xml:space="preserve">Nunca desmantele la bomba usted mismo si observa una </w:t>
      </w:r>
      <w:r w:rsidR="007431BC" w:rsidRPr="00D7236A">
        <w:rPr>
          <w:sz w:val="18"/>
          <w:szCs w:val="18"/>
        </w:rPr>
        <w:t>anomalía en su funcionamiento. Una reparación de</w:t>
      </w:r>
      <w:r w:rsidRPr="00D7236A">
        <w:rPr>
          <w:sz w:val="18"/>
          <w:szCs w:val="18"/>
        </w:rPr>
        <w:t xml:space="preserve">be ser realizada por técnicos especializados en un taller de mantenimiento autorizado.  </w:t>
      </w:r>
    </w:p>
    <w:p w:rsidR="00F2364A" w:rsidRPr="00D7236A" w:rsidRDefault="00F2364A" w:rsidP="00F2364A">
      <w:pPr>
        <w:pStyle w:val="Prrafodelista"/>
        <w:numPr>
          <w:ilvl w:val="0"/>
          <w:numId w:val="21"/>
        </w:numPr>
        <w:spacing w:after="160" w:line="259" w:lineRule="auto"/>
        <w:ind w:right="0"/>
        <w:rPr>
          <w:sz w:val="18"/>
          <w:szCs w:val="18"/>
        </w:rPr>
      </w:pPr>
      <w:r w:rsidRPr="00D7236A">
        <w:rPr>
          <w:sz w:val="18"/>
          <w:szCs w:val="18"/>
        </w:rPr>
        <w:t>Si la bomba funciona, pero el flujo de agua es inferior a lo normal:</w:t>
      </w:r>
    </w:p>
    <w:p w:rsidR="00F2364A" w:rsidRPr="00D7236A" w:rsidRDefault="000A3B72" w:rsidP="00F2364A">
      <w:pPr>
        <w:pStyle w:val="Prrafodelista"/>
        <w:numPr>
          <w:ilvl w:val="1"/>
          <w:numId w:val="21"/>
        </w:numPr>
        <w:spacing w:after="160" w:line="259" w:lineRule="auto"/>
        <w:ind w:right="0"/>
        <w:rPr>
          <w:sz w:val="18"/>
          <w:szCs w:val="18"/>
        </w:rPr>
      </w:pPr>
      <w:r w:rsidRPr="00D7236A">
        <w:rPr>
          <w:sz w:val="18"/>
          <w:szCs w:val="18"/>
        </w:rPr>
        <w:t xml:space="preserve"> Comp</w:t>
      </w:r>
      <w:r w:rsidR="00C535FC" w:rsidRPr="00D7236A">
        <w:rPr>
          <w:sz w:val="18"/>
          <w:szCs w:val="18"/>
        </w:rPr>
        <w:t xml:space="preserve">ruebe que </w:t>
      </w:r>
      <w:r w:rsidR="007C1938" w:rsidRPr="00D7236A">
        <w:rPr>
          <w:sz w:val="18"/>
          <w:szCs w:val="18"/>
        </w:rPr>
        <w:t>la coladera</w:t>
      </w:r>
      <w:r w:rsidR="00C535FC" w:rsidRPr="00D7236A">
        <w:rPr>
          <w:sz w:val="18"/>
          <w:szCs w:val="18"/>
        </w:rPr>
        <w:t xml:space="preserve"> no esté</w:t>
      </w:r>
      <w:r w:rsidR="007C1938" w:rsidRPr="00D7236A">
        <w:rPr>
          <w:sz w:val="18"/>
          <w:szCs w:val="18"/>
        </w:rPr>
        <w:t xml:space="preserve"> sucia</w:t>
      </w:r>
      <w:r w:rsidR="00F2364A" w:rsidRPr="00D7236A">
        <w:rPr>
          <w:sz w:val="18"/>
          <w:szCs w:val="18"/>
        </w:rPr>
        <w:t>.</w:t>
      </w:r>
    </w:p>
    <w:p w:rsidR="00F2364A" w:rsidRPr="00D7236A" w:rsidRDefault="00F2364A" w:rsidP="00F2364A">
      <w:pPr>
        <w:pStyle w:val="Prrafodelista"/>
        <w:numPr>
          <w:ilvl w:val="1"/>
          <w:numId w:val="21"/>
        </w:numPr>
        <w:spacing w:after="160" w:line="259" w:lineRule="auto"/>
        <w:ind w:right="0"/>
        <w:rPr>
          <w:sz w:val="18"/>
          <w:szCs w:val="18"/>
        </w:rPr>
      </w:pPr>
      <w:r w:rsidRPr="00D7236A">
        <w:rPr>
          <w:sz w:val="18"/>
          <w:szCs w:val="18"/>
        </w:rPr>
        <w:t xml:space="preserve">Verifique que </w:t>
      </w:r>
      <w:r w:rsidR="000A3B72" w:rsidRPr="00D7236A">
        <w:rPr>
          <w:sz w:val="18"/>
          <w:szCs w:val="18"/>
        </w:rPr>
        <w:t>el rotor gire libremente y no sufra desperfectos</w:t>
      </w:r>
      <w:r w:rsidRPr="00D7236A">
        <w:rPr>
          <w:sz w:val="18"/>
          <w:szCs w:val="18"/>
        </w:rPr>
        <w:t>.</w:t>
      </w:r>
    </w:p>
    <w:p w:rsidR="00F2364A" w:rsidRPr="00D7236A" w:rsidRDefault="000A3B72" w:rsidP="00F2364A">
      <w:pPr>
        <w:pStyle w:val="Prrafodelista"/>
        <w:numPr>
          <w:ilvl w:val="1"/>
          <w:numId w:val="21"/>
        </w:numPr>
        <w:spacing w:after="160" w:line="259" w:lineRule="auto"/>
        <w:ind w:right="0"/>
        <w:rPr>
          <w:sz w:val="18"/>
          <w:szCs w:val="18"/>
        </w:rPr>
      </w:pPr>
      <w:r w:rsidRPr="00D7236A">
        <w:rPr>
          <w:sz w:val="18"/>
          <w:szCs w:val="18"/>
        </w:rPr>
        <w:t>Observe ruidos anómalos, vibraciones o traqueteos causados por un desperfecto en el rotor.</w:t>
      </w:r>
    </w:p>
    <w:p w:rsidR="00F2364A" w:rsidRPr="00D7236A" w:rsidRDefault="00F2364A" w:rsidP="00F2364A">
      <w:pPr>
        <w:pStyle w:val="Prrafodelista"/>
        <w:numPr>
          <w:ilvl w:val="0"/>
          <w:numId w:val="21"/>
        </w:numPr>
        <w:spacing w:after="160" w:line="259" w:lineRule="auto"/>
        <w:ind w:right="0"/>
        <w:rPr>
          <w:sz w:val="18"/>
          <w:szCs w:val="18"/>
        </w:rPr>
      </w:pPr>
      <w:r w:rsidRPr="00D7236A">
        <w:rPr>
          <w:sz w:val="18"/>
          <w:szCs w:val="18"/>
        </w:rPr>
        <w:t>La bomba puede ser reconectada después de haber resuelto los prob</w:t>
      </w:r>
      <w:r w:rsidR="00882CE7" w:rsidRPr="00D7236A">
        <w:rPr>
          <w:sz w:val="18"/>
          <w:szCs w:val="18"/>
        </w:rPr>
        <w:t>lemas que causaban la anomalía.</w:t>
      </w:r>
      <w:r w:rsidRPr="00D7236A">
        <w:rPr>
          <w:sz w:val="18"/>
          <w:szCs w:val="18"/>
        </w:rPr>
        <w:t xml:space="preserve"> Debe vigilar su funcionamiento durante </w:t>
      </w:r>
      <w:r w:rsidR="00D7236A" w:rsidRPr="00D7236A">
        <w:rPr>
          <w:sz w:val="18"/>
          <w:szCs w:val="18"/>
        </w:rPr>
        <w:t>unos</w:t>
      </w:r>
      <w:r w:rsidRPr="00D7236A">
        <w:rPr>
          <w:sz w:val="18"/>
          <w:szCs w:val="18"/>
        </w:rPr>
        <w:t xml:space="preserve"> minutos con el fin de verificar que el dispositivo trabaja de forma estable y correcta.  </w:t>
      </w:r>
    </w:p>
    <w:p w:rsidR="00F2364A" w:rsidRPr="00D7236A" w:rsidRDefault="00F2364A" w:rsidP="00F2364A">
      <w:pPr>
        <w:pStyle w:val="Prrafodelista"/>
        <w:numPr>
          <w:ilvl w:val="0"/>
          <w:numId w:val="21"/>
        </w:numPr>
        <w:spacing w:after="160" w:line="259" w:lineRule="auto"/>
        <w:ind w:right="0"/>
        <w:rPr>
          <w:sz w:val="18"/>
          <w:szCs w:val="18"/>
        </w:rPr>
      </w:pPr>
      <w:r w:rsidRPr="00D7236A">
        <w:rPr>
          <w:sz w:val="18"/>
          <w:szCs w:val="18"/>
        </w:rPr>
        <w:t xml:space="preserve">Antes de mover el filtro o realizar cualquier labor de mantenimiento asegúrese de que la bomba está detenida y el cable está desenchufado del suministro eléctrico. </w:t>
      </w:r>
    </w:p>
    <w:p w:rsidR="00F774A5" w:rsidRPr="00D7236A" w:rsidRDefault="00F2364A" w:rsidP="00095CB7">
      <w:pPr>
        <w:pStyle w:val="Prrafodelista"/>
        <w:numPr>
          <w:ilvl w:val="0"/>
          <w:numId w:val="21"/>
        </w:numPr>
        <w:spacing w:after="160" w:line="259" w:lineRule="auto"/>
        <w:ind w:right="0"/>
        <w:rPr>
          <w:sz w:val="18"/>
          <w:szCs w:val="18"/>
        </w:rPr>
      </w:pPr>
      <w:r w:rsidRPr="00D7236A">
        <w:rPr>
          <w:sz w:val="18"/>
          <w:szCs w:val="18"/>
        </w:rPr>
        <w:t>El cable de suministro eléctrico es irremplazable.  Si este presenta daños o desperfectos el aparato no puede ser usado y debe desecharse.</w:t>
      </w:r>
    </w:p>
    <w:p w:rsidR="00E44EC2" w:rsidRPr="00D7236A" w:rsidRDefault="00CE739B" w:rsidP="00D7236A">
      <w:pPr>
        <w:pStyle w:val="Prrafodelista"/>
        <w:numPr>
          <w:ilvl w:val="0"/>
          <w:numId w:val="21"/>
        </w:numPr>
        <w:spacing w:after="160" w:line="259" w:lineRule="auto"/>
        <w:ind w:right="0"/>
        <w:rPr>
          <w:sz w:val="18"/>
          <w:szCs w:val="18"/>
        </w:rPr>
      </w:pPr>
      <w:r w:rsidRPr="00D7236A">
        <w:rPr>
          <w:sz w:val="18"/>
          <w:szCs w:val="18"/>
        </w:rPr>
        <w:t>No trate de reparar la bomba usted mismo.  Acuda a un servicio calificado para ello. El cable de suministro eléctrico no puede ser reparado.</w:t>
      </w:r>
    </w:p>
    <w:sectPr w:rsidR="00E44EC2" w:rsidRPr="00D7236A">
      <w:pgSz w:w="12240" w:h="15840"/>
      <w:pgMar w:top="755" w:right="717" w:bottom="74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D3439"/>
    <w:multiLevelType w:val="hybridMultilevel"/>
    <w:tmpl w:val="EF54EC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37391"/>
    <w:multiLevelType w:val="hybridMultilevel"/>
    <w:tmpl w:val="962239F6"/>
    <w:lvl w:ilvl="0" w:tplc="22044244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A296D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78660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62EB2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5834B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BA178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BE86C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467A8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66634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644F24"/>
    <w:multiLevelType w:val="hybridMultilevel"/>
    <w:tmpl w:val="C3CE450C"/>
    <w:lvl w:ilvl="0" w:tplc="29BC838E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54DDB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2BF4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9C3E3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448FD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AC8CD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7CDB8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262FB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94AEA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2747AA"/>
    <w:multiLevelType w:val="hybridMultilevel"/>
    <w:tmpl w:val="00F883DE"/>
    <w:lvl w:ilvl="0" w:tplc="080A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3F8D5785"/>
    <w:multiLevelType w:val="hybridMultilevel"/>
    <w:tmpl w:val="54ACA4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16AB9"/>
    <w:multiLevelType w:val="hybridMultilevel"/>
    <w:tmpl w:val="F746D4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96764"/>
    <w:multiLevelType w:val="hybridMultilevel"/>
    <w:tmpl w:val="1C0A292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A303E"/>
    <w:multiLevelType w:val="hybridMultilevel"/>
    <w:tmpl w:val="DB085A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A485B"/>
    <w:multiLevelType w:val="hybridMultilevel"/>
    <w:tmpl w:val="3F80956E"/>
    <w:lvl w:ilvl="0" w:tplc="08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523B6BA3"/>
    <w:multiLevelType w:val="hybridMultilevel"/>
    <w:tmpl w:val="340867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E1B27"/>
    <w:multiLevelType w:val="hybridMultilevel"/>
    <w:tmpl w:val="A7BA155A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00454DC"/>
    <w:multiLevelType w:val="hybridMultilevel"/>
    <w:tmpl w:val="A524BE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E3D17"/>
    <w:multiLevelType w:val="hybridMultilevel"/>
    <w:tmpl w:val="DCD67E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A7996"/>
    <w:multiLevelType w:val="hybridMultilevel"/>
    <w:tmpl w:val="A6FED58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B3B0EA1"/>
    <w:multiLevelType w:val="hybridMultilevel"/>
    <w:tmpl w:val="E1260B82"/>
    <w:lvl w:ilvl="0" w:tplc="C5305A2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224D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C850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AAF9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3245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FE89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0236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3633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FA20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E477FF"/>
    <w:multiLevelType w:val="hybridMultilevel"/>
    <w:tmpl w:val="92F8BD9C"/>
    <w:lvl w:ilvl="0" w:tplc="A6FEFB1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5EF1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88F4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FEB9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8C9E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1AB45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CE42C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5A57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1A5A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6573B20"/>
    <w:multiLevelType w:val="hybridMultilevel"/>
    <w:tmpl w:val="FCD653B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66265A0"/>
    <w:multiLevelType w:val="hybridMultilevel"/>
    <w:tmpl w:val="FC54D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34D0F"/>
    <w:multiLevelType w:val="hybridMultilevel"/>
    <w:tmpl w:val="1770A602"/>
    <w:lvl w:ilvl="0" w:tplc="3A346414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28268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2C092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7201E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64ACB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EA27E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32E09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B2A5C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DEC41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AED16D3"/>
    <w:multiLevelType w:val="hybridMultilevel"/>
    <w:tmpl w:val="B96CF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C43EE"/>
    <w:multiLevelType w:val="hybridMultilevel"/>
    <w:tmpl w:val="9EDAB364"/>
    <w:lvl w:ilvl="0" w:tplc="08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18"/>
  </w:num>
  <w:num w:numId="5">
    <w:abstractNumId w:val="2"/>
  </w:num>
  <w:num w:numId="6">
    <w:abstractNumId w:val="17"/>
  </w:num>
  <w:num w:numId="7">
    <w:abstractNumId w:val="13"/>
  </w:num>
  <w:num w:numId="8">
    <w:abstractNumId w:val="3"/>
  </w:num>
  <w:num w:numId="9">
    <w:abstractNumId w:val="10"/>
  </w:num>
  <w:num w:numId="10">
    <w:abstractNumId w:val="0"/>
  </w:num>
  <w:num w:numId="11">
    <w:abstractNumId w:val="7"/>
  </w:num>
  <w:num w:numId="12">
    <w:abstractNumId w:val="8"/>
  </w:num>
  <w:num w:numId="13">
    <w:abstractNumId w:val="16"/>
  </w:num>
  <w:num w:numId="14">
    <w:abstractNumId w:val="6"/>
  </w:num>
  <w:num w:numId="15">
    <w:abstractNumId w:val="4"/>
  </w:num>
  <w:num w:numId="16">
    <w:abstractNumId w:val="20"/>
  </w:num>
  <w:num w:numId="17">
    <w:abstractNumId w:val="9"/>
  </w:num>
  <w:num w:numId="18">
    <w:abstractNumId w:val="11"/>
  </w:num>
  <w:num w:numId="19">
    <w:abstractNumId w:val="19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D08"/>
    <w:rsid w:val="000063D4"/>
    <w:rsid w:val="00015590"/>
    <w:rsid w:val="00017BE8"/>
    <w:rsid w:val="0002142B"/>
    <w:rsid w:val="000250C0"/>
    <w:rsid w:val="000359CA"/>
    <w:rsid w:val="00052227"/>
    <w:rsid w:val="0005282E"/>
    <w:rsid w:val="00053BC6"/>
    <w:rsid w:val="00061075"/>
    <w:rsid w:val="00061FF4"/>
    <w:rsid w:val="00063CAE"/>
    <w:rsid w:val="00083A2D"/>
    <w:rsid w:val="000845EF"/>
    <w:rsid w:val="00087625"/>
    <w:rsid w:val="00095CB7"/>
    <w:rsid w:val="000A3B72"/>
    <w:rsid w:val="000B35E7"/>
    <w:rsid w:val="000B5B54"/>
    <w:rsid w:val="000C7FE4"/>
    <w:rsid w:val="000D67C3"/>
    <w:rsid w:val="000E1AA9"/>
    <w:rsid w:val="000F7C5C"/>
    <w:rsid w:val="00130686"/>
    <w:rsid w:val="001338A6"/>
    <w:rsid w:val="001357D0"/>
    <w:rsid w:val="001539E4"/>
    <w:rsid w:val="00165C9A"/>
    <w:rsid w:val="0019477F"/>
    <w:rsid w:val="001B09F1"/>
    <w:rsid w:val="001B4ED5"/>
    <w:rsid w:val="001B6964"/>
    <w:rsid w:val="001D0F54"/>
    <w:rsid w:val="001D590F"/>
    <w:rsid w:val="001E08BB"/>
    <w:rsid w:val="001E5102"/>
    <w:rsid w:val="00202C2D"/>
    <w:rsid w:val="0021086E"/>
    <w:rsid w:val="00224C4D"/>
    <w:rsid w:val="00233C54"/>
    <w:rsid w:val="00235092"/>
    <w:rsid w:val="00235E07"/>
    <w:rsid w:val="00237EC1"/>
    <w:rsid w:val="00241079"/>
    <w:rsid w:val="0024130D"/>
    <w:rsid w:val="00246325"/>
    <w:rsid w:val="00251786"/>
    <w:rsid w:val="00262CCF"/>
    <w:rsid w:val="00294D94"/>
    <w:rsid w:val="00297156"/>
    <w:rsid w:val="002A3E57"/>
    <w:rsid w:val="002B316D"/>
    <w:rsid w:val="002B77CC"/>
    <w:rsid w:val="002C0DE5"/>
    <w:rsid w:val="002C3781"/>
    <w:rsid w:val="002E7EB9"/>
    <w:rsid w:val="002F400A"/>
    <w:rsid w:val="00323B1B"/>
    <w:rsid w:val="00332D62"/>
    <w:rsid w:val="003345B6"/>
    <w:rsid w:val="00336BCD"/>
    <w:rsid w:val="00342169"/>
    <w:rsid w:val="00366D2F"/>
    <w:rsid w:val="00372C8E"/>
    <w:rsid w:val="00380BBF"/>
    <w:rsid w:val="003876D0"/>
    <w:rsid w:val="00397927"/>
    <w:rsid w:val="003A20CC"/>
    <w:rsid w:val="003D5B68"/>
    <w:rsid w:val="003D68A8"/>
    <w:rsid w:val="003F0FF7"/>
    <w:rsid w:val="00404BD1"/>
    <w:rsid w:val="00407810"/>
    <w:rsid w:val="00437B30"/>
    <w:rsid w:val="00443775"/>
    <w:rsid w:val="0044552E"/>
    <w:rsid w:val="00446814"/>
    <w:rsid w:val="004614FD"/>
    <w:rsid w:val="004618BC"/>
    <w:rsid w:val="00462FD8"/>
    <w:rsid w:val="0046504B"/>
    <w:rsid w:val="004A21A5"/>
    <w:rsid w:val="004B345F"/>
    <w:rsid w:val="004D002F"/>
    <w:rsid w:val="004D5F45"/>
    <w:rsid w:val="004D7A5C"/>
    <w:rsid w:val="004E3D30"/>
    <w:rsid w:val="004F4BFF"/>
    <w:rsid w:val="005017E8"/>
    <w:rsid w:val="00513CC9"/>
    <w:rsid w:val="00530F2E"/>
    <w:rsid w:val="00557C32"/>
    <w:rsid w:val="00574759"/>
    <w:rsid w:val="005761EF"/>
    <w:rsid w:val="0058116B"/>
    <w:rsid w:val="005A3D08"/>
    <w:rsid w:val="005B02E9"/>
    <w:rsid w:val="005B48C7"/>
    <w:rsid w:val="005B5916"/>
    <w:rsid w:val="005C261D"/>
    <w:rsid w:val="005E433A"/>
    <w:rsid w:val="005F1765"/>
    <w:rsid w:val="005F1948"/>
    <w:rsid w:val="005F6950"/>
    <w:rsid w:val="00601AAB"/>
    <w:rsid w:val="00605745"/>
    <w:rsid w:val="006111FA"/>
    <w:rsid w:val="0061638B"/>
    <w:rsid w:val="006371CE"/>
    <w:rsid w:val="006553EE"/>
    <w:rsid w:val="00664B99"/>
    <w:rsid w:val="0068674D"/>
    <w:rsid w:val="00692663"/>
    <w:rsid w:val="006B331C"/>
    <w:rsid w:val="006B63D7"/>
    <w:rsid w:val="006C5B38"/>
    <w:rsid w:val="006C6A1A"/>
    <w:rsid w:val="006D0CF0"/>
    <w:rsid w:val="006D4814"/>
    <w:rsid w:val="006E3A1C"/>
    <w:rsid w:val="006F24B3"/>
    <w:rsid w:val="00711D04"/>
    <w:rsid w:val="00712BB9"/>
    <w:rsid w:val="00715423"/>
    <w:rsid w:val="00715B15"/>
    <w:rsid w:val="007203A4"/>
    <w:rsid w:val="007431BC"/>
    <w:rsid w:val="00743D93"/>
    <w:rsid w:val="00743F05"/>
    <w:rsid w:val="0075710A"/>
    <w:rsid w:val="00760FA6"/>
    <w:rsid w:val="00784DD7"/>
    <w:rsid w:val="0078563E"/>
    <w:rsid w:val="00791EB2"/>
    <w:rsid w:val="007A09B8"/>
    <w:rsid w:val="007A0A2C"/>
    <w:rsid w:val="007A2AE4"/>
    <w:rsid w:val="007A6A45"/>
    <w:rsid w:val="007B79BA"/>
    <w:rsid w:val="007C1938"/>
    <w:rsid w:val="007D058C"/>
    <w:rsid w:val="007D1B59"/>
    <w:rsid w:val="007D2A25"/>
    <w:rsid w:val="007D5906"/>
    <w:rsid w:val="007E12E8"/>
    <w:rsid w:val="007F0337"/>
    <w:rsid w:val="00803BE9"/>
    <w:rsid w:val="00814336"/>
    <w:rsid w:val="0084332B"/>
    <w:rsid w:val="008604D4"/>
    <w:rsid w:val="00866558"/>
    <w:rsid w:val="00874464"/>
    <w:rsid w:val="008811BD"/>
    <w:rsid w:val="00881252"/>
    <w:rsid w:val="00881B32"/>
    <w:rsid w:val="00882CE7"/>
    <w:rsid w:val="00885939"/>
    <w:rsid w:val="00887F34"/>
    <w:rsid w:val="008A0EC4"/>
    <w:rsid w:val="008A4BCD"/>
    <w:rsid w:val="008B3030"/>
    <w:rsid w:val="008C17B1"/>
    <w:rsid w:val="008C481F"/>
    <w:rsid w:val="008C6475"/>
    <w:rsid w:val="008E4A0F"/>
    <w:rsid w:val="008E67DD"/>
    <w:rsid w:val="0091433B"/>
    <w:rsid w:val="00914A8E"/>
    <w:rsid w:val="00915C15"/>
    <w:rsid w:val="00930DF2"/>
    <w:rsid w:val="00946608"/>
    <w:rsid w:val="009709FB"/>
    <w:rsid w:val="0097326B"/>
    <w:rsid w:val="0097611E"/>
    <w:rsid w:val="00980D55"/>
    <w:rsid w:val="00991783"/>
    <w:rsid w:val="00996419"/>
    <w:rsid w:val="009A6B05"/>
    <w:rsid w:val="009B606B"/>
    <w:rsid w:val="009C2FB0"/>
    <w:rsid w:val="009C5005"/>
    <w:rsid w:val="009C50E0"/>
    <w:rsid w:val="009D1946"/>
    <w:rsid w:val="009E08FE"/>
    <w:rsid w:val="00A01E61"/>
    <w:rsid w:val="00A02097"/>
    <w:rsid w:val="00A06D84"/>
    <w:rsid w:val="00A23EFF"/>
    <w:rsid w:val="00A256FD"/>
    <w:rsid w:val="00A35DD8"/>
    <w:rsid w:val="00A36192"/>
    <w:rsid w:val="00A4431A"/>
    <w:rsid w:val="00A463EF"/>
    <w:rsid w:val="00A733D3"/>
    <w:rsid w:val="00A91194"/>
    <w:rsid w:val="00A91F10"/>
    <w:rsid w:val="00AC410A"/>
    <w:rsid w:val="00AD55C1"/>
    <w:rsid w:val="00AD6D00"/>
    <w:rsid w:val="00AE6B8C"/>
    <w:rsid w:val="00AF2BFA"/>
    <w:rsid w:val="00B052BD"/>
    <w:rsid w:val="00B06349"/>
    <w:rsid w:val="00B10198"/>
    <w:rsid w:val="00B14438"/>
    <w:rsid w:val="00B159E3"/>
    <w:rsid w:val="00B224CC"/>
    <w:rsid w:val="00B25535"/>
    <w:rsid w:val="00B2561C"/>
    <w:rsid w:val="00B348F7"/>
    <w:rsid w:val="00B4093A"/>
    <w:rsid w:val="00B41F2F"/>
    <w:rsid w:val="00B43A54"/>
    <w:rsid w:val="00B54372"/>
    <w:rsid w:val="00B732D4"/>
    <w:rsid w:val="00B7563D"/>
    <w:rsid w:val="00B91A20"/>
    <w:rsid w:val="00B92498"/>
    <w:rsid w:val="00B92662"/>
    <w:rsid w:val="00BA0860"/>
    <w:rsid w:val="00BA2246"/>
    <w:rsid w:val="00BA368A"/>
    <w:rsid w:val="00BB2F58"/>
    <w:rsid w:val="00BC1BB8"/>
    <w:rsid w:val="00BD1296"/>
    <w:rsid w:val="00BE3913"/>
    <w:rsid w:val="00BE572B"/>
    <w:rsid w:val="00C10DFB"/>
    <w:rsid w:val="00C210C5"/>
    <w:rsid w:val="00C24B17"/>
    <w:rsid w:val="00C35B15"/>
    <w:rsid w:val="00C45108"/>
    <w:rsid w:val="00C4660E"/>
    <w:rsid w:val="00C5171B"/>
    <w:rsid w:val="00C51B35"/>
    <w:rsid w:val="00C52C27"/>
    <w:rsid w:val="00C535FC"/>
    <w:rsid w:val="00C65032"/>
    <w:rsid w:val="00C751F6"/>
    <w:rsid w:val="00C822B4"/>
    <w:rsid w:val="00C85D7A"/>
    <w:rsid w:val="00C93761"/>
    <w:rsid w:val="00C9548A"/>
    <w:rsid w:val="00CB1D6F"/>
    <w:rsid w:val="00CB2527"/>
    <w:rsid w:val="00CB74D9"/>
    <w:rsid w:val="00CE739B"/>
    <w:rsid w:val="00CF2461"/>
    <w:rsid w:val="00CF6239"/>
    <w:rsid w:val="00CF7652"/>
    <w:rsid w:val="00D01E71"/>
    <w:rsid w:val="00D07D25"/>
    <w:rsid w:val="00D109DC"/>
    <w:rsid w:val="00D2553E"/>
    <w:rsid w:val="00D2630A"/>
    <w:rsid w:val="00D27564"/>
    <w:rsid w:val="00D4585B"/>
    <w:rsid w:val="00D502DF"/>
    <w:rsid w:val="00D55227"/>
    <w:rsid w:val="00D6438B"/>
    <w:rsid w:val="00D67DA1"/>
    <w:rsid w:val="00D7236A"/>
    <w:rsid w:val="00D9376E"/>
    <w:rsid w:val="00DC122D"/>
    <w:rsid w:val="00DC40DE"/>
    <w:rsid w:val="00DD5F6D"/>
    <w:rsid w:val="00DD6855"/>
    <w:rsid w:val="00DD74EF"/>
    <w:rsid w:val="00DE07A0"/>
    <w:rsid w:val="00E01025"/>
    <w:rsid w:val="00E01703"/>
    <w:rsid w:val="00E03F83"/>
    <w:rsid w:val="00E26896"/>
    <w:rsid w:val="00E307BA"/>
    <w:rsid w:val="00E34079"/>
    <w:rsid w:val="00E37A25"/>
    <w:rsid w:val="00E44EC2"/>
    <w:rsid w:val="00E4506B"/>
    <w:rsid w:val="00E627A6"/>
    <w:rsid w:val="00E667EC"/>
    <w:rsid w:val="00E67BEB"/>
    <w:rsid w:val="00E7677F"/>
    <w:rsid w:val="00E8601A"/>
    <w:rsid w:val="00E86C7B"/>
    <w:rsid w:val="00EB4A43"/>
    <w:rsid w:val="00ED3D16"/>
    <w:rsid w:val="00ED505B"/>
    <w:rsid w:val="00ED574D"/>
    <w:rsid w:val="00ED76C5"/>
    <w:rsid w:val="00EE54FE"/>
    <w:rsid w:val="00F023A2"/>
    <w:rsid w:val="00F16127"/>
    <w:rsid w:val="00F227E9"/>
    <w:rsid w:val="00F2364A"/>
    <w:rsid w:val="00F313B6"/>
    <w:rsid w:val="00F35AEE"/>
    <w:rsid w:val="00F40997"/>
    <w:rsid w:val="00F630F2"/>
    <w:rsid w:val="00F7087E"/>
    <w:rsid w:val="00F774A5"/>
    <w:rsid w:val="00F82476"/>
    <w:rsid w:val="00F826E0"/>
    <w:rsid w:val="00FA4CFB"/>
    <w:rsid w:val="00FA6527"/>
    <w:rsid w:val="00FA6608"/>
    <w:rsid w:val="00FB12EC"/>
    <w:rsid w:val="00FD12FA"/>
    <w:rsid w:val="00FD6AEB"/>
    <w:rsid w:val="00FE73D9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E1D7"/>
  <w15:docId w15:val="{5AD66CD0-6D47-4A85-9865-FB06EAB0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2" w:line="271" w:lineRule="auto"/>
      <w:ind w:left="370" w:right="2" w:hanging="37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24B17"/>
    <w:pPr>
      <w:ind w:left="720"/>
      <w:contextualSpacing/>
    </w:pPr>
  </w:style>
  <w:style w:type="table" w:styleId="Tablaconcuadrcula">
    <w:name w:val="Table Grid"/>
    <w:basedOn w:val="Tablanormal"/>
    <w:uiPriority w:val="39"/>
    <w:rsid w:val="00372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C1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7B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1648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Percula</dc:creator>
  <cp:keywords/>
  <cp:lastModifiedBy>Alejandro Soria Molina</cp:lastModifiedBy>
  <cp:revision>26</cp:revision>
  <cp:lastPrinted>2017-02-10T22:32:00Z</cp:lastPrinted>
  <dcterms:created xsi:type="dcterms:W3CDTF">2017-03-09T21:44:00Z</dcterms:created>
  <dcterms:modified xsi:type="dcterms:W3CDTF">2018-08-16T17:06:00Z</dcterms:modified>
</cp:coreProperties>
</file>